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0" w:after="200"/>
        <w:jc w:val="center"/>
        <w:rPr>
          <w:rFonts w:ascii="Times New Roman" w:hAnsi="Times New Roman"/>
          <w:sz w:val="24"/>
          <w:szCs w:val="24"/>
        </w:rPr>
      </w:pPr>
      <w:r>
        <w:rPr>
          <w:rFonts w:ascii="Times New Roman" w:hAnsi="Times New Roman"/>
          <w:sz w:val="32"/>
          <w:szCs w:val="32"/>
        </w:rPr>
        <w:t>Habilitation régionale au titre de l’aide alimentaire :</w:t>
      </w:r>
    </w:p>
    <w:p>
      <w:pPr>
        <w:pStyle w:val="Titre1"/>
        <w:pBdr>
          <w:bottom w:val="single" w:sz="4" w:space="3" w:color="595959"/>
        </w:pBdr>
        <w:spacing w:before="0" w:after="200"/>
        <w:jc w:val="center"/>
        <w:rPr>
          <w:rFonts w:ascii="Times New Roman" w:hAnsi="Times New Roman"/>
          <w:sz w:val="24"/>
          <w:szCs w:val="24"/>
        </w:rPr>
      </w:pPr>
      <w:r>
        <w:rPr>
          <w:rFonts w:ascii="Times New Roman" w:hAnsi="Times New Roman"/>
          <w:sz w:val="32"/>
          <w:szCs w:val="32"/>
        </w:rPr>
        <w:t>Suis-je concerné ? Quelle est la procédure ?</w:t>
      </w:r>
    </w:p>
    <w:p>
      <w:pPr>
        <w:pStyle w:val="Normal"/>
        <w:spacing w:before="0" w:after="0"/>
        <w:jc w:val="center"/>
        <w:rPr>
          <w:rFonts w:ascii="Times New Roman" w:hAnsi="Times New Roman"/>
          <w:bCs/>
          <w:caps/>
          <w:sz w:val="24"/>
          <w:szCs w:val="24"/>
        </w:rPr>
      </w:pPr>
      <w:r>
        <w:rPr>
          <w:rFonts w:ascii="Times New Roman" w:hAnsi="Times New Roman"/>
          <w:bCs/>
          <w:caps/>
          <w:sz w:val="24"/>
          <w:szCs w:val="24"/>
        </w:rPr>
      </w:r>
    </w:p>
    <w:p>
      <w:pPr>
        <w:pStyle w:val="WWStandard1"/>
        <w:rPr/>
      </w:pPr>
      <w:r>
        <w:rPr>
          <w:rFonts w:ascii="Times New Roman" w:hAnsi="Times New Roman"/>
          <w:color w:val="404040" w:themeColor="text1" w:themeTint="bf"/>
          <w:sz w:val="24"/>
          <w:szCs w:val="24"/>
        </w:rPr>
        <w:t xml:space="preserve">L’aide alimentaire consiste à fournir des denrées alimentaires </w:t>
      </w:r>
      <w:r>
        <w:rPr>
          <w:rFonts w:ascii="Times New Roman" w:hAnsi="Times New Roman"/>
          <w:b/>
          <w:bCs/>
          <w:color w:val="404040" w:themeColor="text1" w:themeTint="bf"/>
          <w:sz w:val="24"/>
          <w:szCs w:val="24"/>
        </w:rPr>
        <w:t>aux personnes en situation de vulnérabilité économique ou sociale</w:t>
      </w:r>
      <w:r>
        <w:rPr>
          <w:rFonts w:ascii="Times New Roman" w:hAnsi="Times New Roman"/>
          <w:color w:val="404040" w:themeColor="text1" w:themeTint="bf"/>
          <w:sz w:val="24"/>
          <w:szCs w:val="24"/>
        </w:rPr>
        <w:t>. Celle-ci repose sur une diversité d’acteurs (CCAS, associations, entreprises solidaires, etc...) qui, selon leur situation, s’inscrivent ou non dans le cadre de la procédure d’habilitation prévue par le code de l’action sociale et des familles.</w:t>
      </w:r>
    </w:p>
    <w:p>
      <w:pPr>
        <w:pStyle w:val="WWStandard1"/>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rPr/>
      </w:pPr>
      <w:r>
        <w:rPr>
          <w:rFonts w:ascii="Times New Roman" w:hAnsi="Times New Roman"/>
          <w:color w:val="404040" w:themeColor="text1" w:themeTint="bf"/>
          <w:sz w:val="24"/>
          <w:szCs w:val="24"/>
        </w:rPr>
        <w:t xml:space="preserve">En effet, l’habilitation n’est pas obligatoire dans toutes les situations. Elle n’est, en effet, </w:t>
      </w:r>
      <w:r>
        <w:rPr>
          <w:rFonts w:ascii="Times New Roman" w:hAnsi="Times New Roman"/>
          <w:b/>
          <w:bCs/>
          <w:color w:val="404040" w:themeColor="text1" w:themeTint="bf"/>
          <w:sz w:val="24"/>
          <w:szCs w:val="24"/>
        </w:rPr>
        <w:t>pas obligatoire</w:t>
      </w:r>
      <w:r>
        <w:rPr>
          <w:rFonts w:ascii="Times New Roman" w:hAnsi="Times New Roman"/>
          <w:color w:val="404040" w:themeColor="text1" w:themeTint="bf"/>
          <w:sz w:val="24"/>
          <w:szCs w:val="24"/>
        </w:rPr>
        <w:t> :</w:t>
      </w:r>
    </w:p>
    <w:p>
      <w:pPr>
        <w:pStyle w:val="WWStandard1"/>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numPr>
          <w:ilvl w:val="0"/>
          <w:numId w:val="4"/>
        </w:numPr>
        <w:rPr/>
      </w:pPr>
      <w:r>
        <w:rPr>
          <w:rFonts w:ascii="Times New Roman" w:hAnsi="Times New Roman"/>
          <w:color w:val="404040" w:themeColor="text1" w:themeTint="bf"/>
          <w:sz w:val="24"/>
          <w:szCs w:val="24"/>
        </w:rPr>
        <w:t>Pour la mise en œuvre de l’aide alimentaire sans contribution publique ou pour bénéficier de dons d’acteurs privés, même si ces dons font l’objet d’une défiscalisation dès l’instant ou l’objet social de la structure (généralement une association) est social ou humanitaire (tel que le prévoit l’article 238bis du code général des impôts).</w:t>
      </w:r>
    </w:p>
    <w:p>
      <w:pPr>
        <w:pStyle w:val="WWStandard1"/>
        <w:numPr>
          <w:ilvl w:val="0"/>
          <w:numId w:val="0"/>
        </w:numPr>
        <w:ind w:left="720" w:hanging="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numPr>
          <w:ilvl w:val="0"/>
          <w:numId w:val="4"/>
        </w:numPr>
        <w:rPr/>
      </w:pPr>
      <w:r>
        <w:rPr>
          <w:rFonts w:ascii="Times New Roman" w:hAnsi="Times New Roman"/>
          <w:color w:val="404040" w:themeColor="text1" w:themeTint="bf"/>
          <w:sz w:val="24"/>
          <w:szCs w:val="24"/>
        </w:rPr>
        <w:t>Pour les centres communaux et intercommunaux d'action sociale (CCAS/CCIAS) qui sont, en tant que personnes morales de droit public participant à la lutte contre la précarité alimentaire habilité</w:t>
      </w:r>
      <w:r>
        <w:rPr>
          <w:rFonts w:ascii="Times New Roman" w:hAnsi="Times New Roman"/>
          <w:color w:val="404040" w:themeColor="text1" w:themeTint="bf"/>
          <w:sz w:val="24"/>
          <w:szCs w:val="24"/>
        </w:rPr>
        <w:t>e</w:t>
      </w:r>
      <w:r>
        <w:rPr>
          <w:rFonts w:ascii="Times New Roman" w:hAnsi="Times New Roman"/>
          <w:color w:val="404040" w:themeColor="text1" w:themeTint="bf"/>
          <w:sz w:val="24"/>
          <w:szCs w:val="24"/>
        </w:rPr>
        <w:t>s d’office.</w:t>
      </w:r>
    </w:p>
    <w:p>
      <w:pPr>
        <w:pStyle w:val="WWStandard1"/>
        <w:numPr>
          <w:ilvl w:val="0"/>
          <w:numId w:val="0"/>
        </w:numPr>
        <w:ind w:left="720" w:hanging="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numPr>
          <w:ilvl w:val="0"/>
          <w:numId w:val="4"/>
        </w:numPr>
        <w:rPr/>
      </w:pPr>
      <w:r>
        <w:rPr>
          <w:rFonts w:ascii="Times New Roman" w:hAnsi="Times New Roman"/>
          <w:color w:val="404040" w:themeColor="text1" w:themeTint="bf"/>
          <w:sz w:val="24"/>
          <w:szCs w:val="24"/>
        </w:rPr>
        <w:t>Pour les épiceries sociales et solidaires adhérentes au réseau de l’association Nationale de Développement des Épiceries Solidaires (ANDES) qui sont couvertes par l’habilitation nationale ANDES.</w:t>
      </w:r>
    </w:p>
    <w:p>
      <w:pPr>
        <w:pStyle w:val="WWStandard1"/>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rPr/>
      </w:pPr>
      <w:r>
        <w:rPr>
          <w:rFonts w:ascii="Times New Roman" w:hAnsi="Times New Roman"/>
          <w:b w:val="false"/>
          <w:bCs w:val="false"/>
          <w:color w:val="404040" w:themeColor="text1" w:themeTint="bf"/>
          <w:sz w:val="24"/>
          <w:szCs w:val="24"/>
        </w:rPr>
        <w:t xml:space="preserve">La réglementation prévoit que les personnes morales de droit privé doivent être habilitées </w:t>
      </w:r>
      <w:r>
        <w:rPr>
          <w:rFonts w:ascii="Times New Roman" w:hAnsi="Times New Roman"/>
          <w:b/>
          <w:bCs/>
          <w:color w:val="404040" w:themeColor="text1" w:themeTint="bf"/>
          <w:sz w:val="24"/>
          <w:szCs w:val="24"/>
        </w:rPr>
        <w:t>pour percevoir des contributions publiques destinées à la mise en œuvre de l’aide alimentaire ou pour la fourniture de denrées alimentaires à des personnes morales de droit public ou à des personnes morales de droit privé habilitées à l’aide alimentaire.</w:t>
      </w:r>
    </w:p>
    <w:p>
      <w:pPr>
        <w:pStyle w:val="WWStandard1"/>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rPr>
          <w:rFonts w:ascii="Times New Roman" w:hAnsi="Times New Roman"/>
          <w:sz w:val="24"/>
          <w:szCs w:val="24"/>
        </w:rPr>
      </w:pPr>
      <w:r>
        <w:rPr>
          <w:rFonts w:ascii="Times New Roman" w:hAnsi="Times New Roman"/>
          <w:b/>
          <w:color w:val="15568E"/>
          <w:sz w:val="28"/>
          <w:szCs w:val="28"/>
        </w:rPr>
        <w:t>L’habilitation, pourquoi ?</w:t>
      </w:r>
    </w:p>
    <w:p>
      <w:pPr>
        <w:pStyle w:val="WWStandard1"/>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Normal"/>
        <w:spacing w:before="0" w:after="0"/>
        <w:jc w:val="both"/>
        <w:rPr/>
      </w:pPr>
      <w:r>
        <w:rPr>
          <w:rFonts w:ascii="Times New Roman" w:hAnsi="Times New Roman"/>
          <w:b/>
          <w:color w:val="404040" w:themeColor="text1" w:themeTint="bf"/>
          <w:sz w:val="24"/>
          <w:szCs w:val="24"/>
        </w:rPr>
        <w:t xml:space="preserve">L’habilitation permet d’être reconnu par les Pouvoirs Publics, </w:t>
      </w:r>
      <w:r>
        <w:rPr>
          <w:rFonts w:ascii="Times New Roman" w:hAnsi="Times New Roman"/>
          <w:color w:val="404040" w:themeColor="text1" w:themeTint="bf"/>
          <w:sz w:val="24"/>
          <w:szCs w:val="24"/>
        </w:rPr>
        <w:t>sans pour autant constituer un label ou une marque de qualité</w:t>
      </w:r>
      <w:r>
        <w:rPr>
          <w:rFonts w:ascii="Times New Roman" w:hAnsi="Times New Roman"/>
          <w:b/>
          <w:color w:val="404040" w:themeColor="text1" w:themeTint="bf"/>
          <w:sz w:val="24"/>
          <w:szCs w:val="24"/>
        </w:rPr>
        <w:t xml:space="preserve">. </w:t>
      </w:r>
      <w:r>
        <w:rPr>
          <w:rFonts w:ascii="Times New Roman" w:hAnsi="Times New Roman"/>
          <w:color w:val="404040" w:themeColor="text1" w:themeTint="bf"/>
          <w:sz w:val="24"/>
          <w:szCs w:val="24"/>
        </w:rPr>
        <w:t xml:space="preserve">Elle est </w:t>
      </w:r>
      <w:r>
        <w:rPr>
          <w:rFonts w:ascii="Times New Roman" w:hAnsi="Times New Roman"/>
          <w:b/>
          <w:color w:val="404040" w:themeColor="text1" w:themeTint="bf"/>
          <w:sz w:val="24"/>
          <w:szCs w:val="24"/>
        </w:rPr>
        <w:t>obligatoire</w:t>
      </w:r>
      <w:r>
        <w:rPr>
          <w:rFonts w:ascii="Times New Roman" w:hAnsi="Times New Roman"/>
          <w:color w:val="404040" w:themeColor="text1" w:themeTint="bf"/>
          <w:sz w:val="24"/>
          <w:szCs w:val="24"/>
        </w:rPr>
        <w:t xml:space="preserve"> pour :</w:t>
      </w:r>
    </w:p>
    <w:p>
      <w:pPr>
        <w:pStyle w:val="Normal"/>
        <w:spacing w:before="0" w:after="0"/>
        <w:jc w:val="both"/>
        <w:rPr>
          <w:rFonts w:ascii="Times New Roman" w:hAnsi="Times New Roman"/>
          <w:b/>
          <w:b/>
          <w:color w:val="404040"/>
          <w:sz w:val="24"/>
          <w:szCs w:val="24"/>
        </w:rPr>
      </w:pPr>
      <w:r>
        <w:rPr>
          <w:rFonts w:ascii="Times New Roman" w:hAnsi="Times New Roman"/>
          <w:b/>
          <w:color w:val="404040"/>
          <w:sz w:val="24"/>
          <w:szCs w:val="24"/>
        </w:rPr>
      </w:r>
    </w:p>
    <w:p>
      <w:pPr>
        <w:pStyle w:val="Normal"/>
        <w:spacing w:before="0" w:after="0"/>
        <w:jc w:val="both"/>
        <w:rPr>
          <w:color w:themeColor="text1" w:themeTint="bf"/>
          <w:highlight w:val="yellow"/>
        </w:rPr>
      </w:pPr>
      <w:r>
        <w:rPr>
          <w:rFonts w:ascii="Times New Roman" w:hAnsi="Times New Roman"/>
          <w:b/>
          <w:color w:val="404040" w:themeColor="text1" w:themeTint="bf"/>
          <w:sz w:val="24"/>
          <w:szCs w:val="24"/>
        </w:rPr>
        <w:t>- Percevoir des contributions publiques destinées à la mise en œuvre de l’aide alimentaire</w:t>
      </w:r>
      <w:r>
        <w:rPr>
          <w:rFonts w:ascii="Times New Roman" w:hAnsi="Times New Roman"/>
          <w:color w:val="404040" w:themeColor="text1" w:themeTint="bf"/>
          <w:sz w:val="24"/>
          <w:szCs w:val="24"/>
        </w:rPr>
        <w:t xml:space="preserve">. Il s’agit de toute aide, en nature ou en numéraire apportée par une personne morale de droit public, à savoir l'Union européenne, l'État, les collectivités territoriales ou les établissements publics, destinée à : </w:t>
      </w:r>
    </w:p>
    <w:p>
      <w:pPr>
        <w:pStyle w:val="Normal"/>
        <w:numPr>
          <w:ilvl w:val="0"/>
          <w:numId w:val="0"/>
        </w:numPr>
        <w:spacing w:before="0" w:after="0"/>
        <w:ind w:left="720" w:hanging="0"/>
        <w:jc w:val="both"/>
        <w:rPr>
          <w:rFonts w:ascii="Times New Roman" w:hAnsi="Times New Roman"/>
          <w:color w:val="404040" w:themeColor="text1" w:themeTint="bf"/>
          <w:sz w:val="24"/>
          <w:szCs w:val="24"/>
          <w:highlight w:val="yellow"/>
        </w:rPr>
      </w:pPr>
      <w:r>
        <w:rPr>
          <w:rFonts w:ascii="Times New Roman" w:hAnsi="Times New Roman"/>
          <w:color w:val="404040" w:themeColor="text1" w:themeTint="bf"/>
          <w:sz w:val="24"/>
          <w:szCs w:val="24"/>
          <w:highlight w:val="yellow"/>
        </w:rPr>
      </w:r>
    </w:p>
    <w:p>
      <w:pPr>
        <w:pStyle w:val="Normal"/>
        <w:numPr>
          <w:ilvl w:val="0"/>
          <w:numId w:val="3"/>
        </w:numPr>
        <w:spacing w:before="0" w:after="0"/>
        <w:jc w:val="both"/>
        <w:rPr/>
      </w:pPr>
      <w:r>
        <w:rPr>
          <w:rFonts w:ascii="Times New Roman" w:hAnsi="Times New Roman"/>
          <w:b/>
          <w:color w:val="404040" w:themeColor="text1" w:themeTint="bf"/>
          <w:sz w:val="24"/>
          <w:szCs w:val="24"/>
        </w:rPr>
        <w:t xml:space="preserve">l’achat de denrées alimentaires </w:t>
      </w:r>
      <w:r>
        <w:rPr>
          <w:rFonts w:ascii="Times New Roman" w:hAnsi="Times New Roman"/>
          <w:color w:val="404040" w:themeColor="text1" w:themeTint="bf"/>
          <w:sz w:val="24"/>
          <w:szCs w:val="24"/>
        </w:rPr>
        <w:t>pour leur distribution à des personnes en situation de vulnérabilité sociale ou économique.</w:t>
      </w:r>
    </w:p>
    <w:p>
      <w:pPr>
        <w:pStyle w:val="Normal"/>
        <w:numPr>
          <w:ilvl w:val="0"/>
          <w:numId w:val="0"/>
        </w:numPr>
        <w:spacing w:before="0" w:after="0"/>
        <w:ind w:left="720" w:hanging="0"/>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Normal"/>
        <w:numPr>
          <w:ilvl w:val="0"/>
          <w:numId w:val="3"/>
        </w:numPr>
        <w:spacing w:before="0" w:after="0"/>
        <w:jc w:val="both"/>
        <w:rPr/>
      </w:pPr>
      <w:r>
        <w:rPr>
          <w:rFonts w:ascii="Times New Roman" w:hAnsi="Times New Roman"/>
          <w:color w:val="404040" w:themeColor="text1" w:themeTint="bf"/>
          <w:sz w:val="24"/>
          <w:szCs w:val="24"/>
        </w:rPr>
        <w:t xml:space="preserve">la couverture de </w:t>
      </w:r>
      <w:r>
        <w:rPr>
          <w:rFonts w:ascii="Times New Roman" w:hAnsi="Times New Roman"/>
          <w:b/>
          <w:color w:val="404040" w:themeColor="text1" w:themeTint="bf"/>
          <w:sz w:val="24"/>
          <w:szCs w:val="24"/>
        </w:rPr>
        <w:t>besoins d’investissement ou de coûts de fonctionnement</w:t>
      </w:r>
      <w:r>
        <w:rPr>
          <w:rFonts w:ascii="Times New Roman" w:hAnsi="Times New Roman"/>
          <w:color w:val="404040" w:themeColor="text1" w:themeTint="bf"/>
          <w:sz w:val="24"/>
          <w:szCs w:val="24"/>
        </w:rPr>
        <w:t xml:space="preserve"> relatifs à la mise en œuvre de l’aide alimentaire.</w:t>
      </w:r>
    </w:p>
    <w:p>
      <w:pPr>
        <w:pStyle w:val="Normal"/>
        <w:numPr>
          <w:ilvl w:val="0"/>
          <w:numId w:val="0"/>
        </w:numPr>
        <w:spacing w:before="0" w:after="0"/>
        <w:ind w:left="720" w:hanging="0"/>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Normal"/>
        <w:numPr>
          <w:ilvl w:val="0"/>
          <w:numId w:val="3"/>
        </w:numPr>
        <w:spacing w:before="0" w:after="0"/>
        <w:jc w:val="both"/>
        <w:rPr/>
      </w:pPr>
      <w:r>
        <w:rPr>
          <w:rFonts w:ascii="Times New Roman" w:hAnsi="Times New Roman"/>
          <w:color w:val="404040" w:themeColor="text1" w:themeTint="bf"/>
          <w:sz w:val="24"/>
          <w:szCs w:val="24"/>
        </w:rPr>
        <w:t>Au-delà des subventions publiques, il peut notamment s'agir de la mise à disposition d'un local, de la mise à disposition de personnel, du règlement des factures d'eau, d'électricité ou de gaz d'une structure.</w:t>
      </w:r>
    </w:p>
    <w:p>
      <w:pPr>
        <w:pStyle w:val="Normal"/>
        <w:numPr>
          <w:ilvl w:val="0"/>
          <w:numId w:val="0"/>
        </w:numPr>
        <w:spacing w:before="0" w:after="0"/>
        <w:ind w:left="720" w:hanging="0"/>
        <w:jc w:val="both"/>
        <w:rPr>
          <w:rFonts w:ascii="Times New Roman" w:hAnsi="Times New Roman"/>
          <w:b/>
          <w:b/>
          <w:color w:val="404040" w:themeColor="text1" w:themeTint="bf"/>
          <w:sz w:val="24"/>
          <w:szCs w:val="24"/>
        </w:rPr>
      </w:pPr>
      <w:r>
        <w:rPr>
          <w:rFonts w:ascii="Times New Roman" w:hAnsi="Times New Roman"/>
          <w:b/>
          <w:color w:val="404040" w:themeColor="text1" w:themeTint="bf"/>
          <w:sz w:val="24"/>
          <w:szCs w:val="24"/>
        </w:rPr>
      </w:r>
    </w:p>
    <w:p>
      <w:pPr>
        <w:pStyle w:val="Normal"/>
        <w:numPr>
          <w:ilvl w:val="0"/>
          <w:numId w:val="3"/>
        </w:numPr>
        <w:spacing w:before="0" w:after="0"/>
        <w:jc w:val="both"/>
        <w:rPr/>
      </w:pPr>
      <w:r>
        <w:rPr>
          <w:rFonts w:ascii="Times New Roman" w:hAnsi="Times New Roman"/>
          <w:b/>
          <w:color w:val="404040" w:themeColor="text1" w:themeTint="bf"/>
          <w:sz w:val="24"/>
          <w:szCs w:val="24"/>
        </w:rPr>
        <w:t>Bénéficier de denrées financées</w:t>
      </w:r>
      <w:r>
        <w:rPr>
          <w:rFonts w:ascii="Times New Roman" w:hAnsi="Times New Roman"/>
          <w:color w:val="404040" w:themeColor="text1" w:themeTint="bf"/>
          <w:sz w:val="24"/>
          <w:szCs w:val="24"/>
        </w:rPr>
        <w:t xml:space="preserve"> par des subventions publiques, et notamment les denrées financées par le Fonds européen d’aide aux plus démunis – </w:t>
      </w:r>
      <w:r>
        <w:rPr>
          <w:rFonts w:ascii="Times New Roman" w:hAnsi="Times New Roman"/>
          <w:b/>
          <w:color w:val="404040" w:themeColor="text1" w:themeTint="bf"/>
          <w:sz w:val="24"/>
          <w:szCs w:val="24"/>
        </w:rPr>
        <w:t>FEAD</w:t>
      </w:r>
      <w:r>
        <w:rPr>
          <w:rFonts w:ascii="Times New Roman" w:hAnsi="Times New Roman"/>
          <w:color w:val="404040" w:themeColor="text1" w:themeTint="bf"/>
          <w:sz w:val="24"/>
          <w:szCs w:val="24"/>
        </w:rPr>
        <w:t xml:space="preserve"> ou le Crédit National des Epiceries Sociales - </w:t>
      </w:r>
      <w:r>
        <w:rPr>
          <w:rFonts w:ascii="Times New Roman" w:hAnsi="Times New Roman"/>
          <w:b/>
          <w:color w:val="404040" w:themeColor="text1" w:themeTint="bf"/>
          <w:sz w:val="24"/>
          <w:szCs w:val="24"/>
        </w:rPr>
        <w:t>CNES</w:t>
      </w:r>
      <w:r>
        <w:rPr>
          <w:rFonts w:ascii="Times New Roman" w:hAnsi="Times New Roman"/>
          <w:color w:val="404040" w:themeColor="text1" w:themeTint="bf"/>
          <w:sz w:val="24"/>
          <w:szCs w:val="24"/>
        </w:rPr>
        <w:t>, même indirectement (via une Banque Alimentaire par exemple) ;</w:t>
      </w:r>
    </w:p>
    <w:p>
      <w:pPr>
        <w:pStyle w:val="Normal"/>
        <w:numPr>
          <w:ilvl w:val="0"/>
          <w:numId w:val="0"/>
        </w:numPr>
        <w:spacing w:before="0" w:after="0"/>
        <w:ind w:left="720" w:hanging="0"/>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Normal"/>
        <w:spacing w:before="0" w:after="0"/>
        <w:jc w:val="both"/>
        <w:rPr/>
      </w:pPr>
      <w:r>
        <w:rPr>
          <w:rFonts w:ascii="Times New Roman" w:hAnsi="Times New Roman"/>
          <w:b/>
          <w:bCs/>
          <w:color w:val="404040" w:themeColor="text1" w:themeTint="bf"/>
          <w:sz w:val="24"/>
          <w:szCs w:val="24"/>
        </w:rPr>
        <w:t>- Fournir des denrées alimentaires à des personnes morales</w:t>
      </w:r>
      <w:r>
        <w:rPr>
          <w:rFonts w:ascii="Times New Roman" w:hAnsi="Times New Roman"/>
          <w:color w:val="404040" w:themeColor="text1" w:themeTint="bf"/>
          <w:sz w:val="24"/>
          <w:szCs w:val="24"/>
        </w:rPr>
        <w:t xml:space="preserve"> de droit public ou à des personnes morales de droit privé. La fourniture de denrées alimentaires entre personnes morales (associations, entreprises solidaires…) suppose, en effet, que chaque structure soit habilitée (fournisseuse et receveuse).</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WWStandard1"/>
        <w:keepNext w:val="true"/>
        <w:rPr>
          <w:sz w:val="28"/>
          <w:szCs w:val="28"/>
        </w:rPr>
      </w:pPr>
      <w:r>
        <w:rPr>
          <w:rFonts w:ascii="Times New Roman" w:hAnsi="Times New Roman"/>
          <w:b/>
          <w:color w:val="15568E"/>
          <w:sz w:val="28"/>
          <w:szCs w:val="28"/>
        </w:rPr>
        <w:t>Qui est concerné par l’habilitation régionale ?</w:t>
      </w:r>
    </w:p>
    <w:p>
      <w:pPr>
        <w:pStyle w:val="WWStandard1"/>
        <w:keepNext w:val="true"/>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keepNext w:val="true"/>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L’habilitation régionale concerne les personnes morales de droit privé dont l’activité d’aide alimentaire</w:t>
      </w:r>
    </w:p>
    <w:p>
      <w:pPr>
        <w:pStyle w:val="WWStandard1"/>
        <w:keepNext w:val="true"/>
        <w:numPr>
          <w:ilvl w:val="0"/>
          <w:numId w:val="1"/>
        </w:numPr>
        <w:spacing w:before="0" w:after="120"/>
        <w:rPr>
          <w:rFonts w:ascii="Times New Roman" w:hAnsi="Times New Roman"/>
          <w:sz w:val="24"/>
          <w:szCs w:val="24"/>
        </w:rPr>
      </w:pPr>
      <w:r>
        <w:rPr>
          <w:rFonts w:ascii="Times New Roman" w:hAnsi="Times New Roman"/>
          <w:color w:val="404040" w:themeColor="text1" w:themeTint="bf"/>
          <w:sz w:val="24"/>
          <w:szCs w:val="24"/>
        </w:rPr>
        <w:t xml:space="preserve">est mise en œuvre </w:t>
      </w:r>
      <w:r>
        <w:rPr>
          <w:rFonts w:ascii="Times New Roman" w:hAnsi="Times New Roman"/>
          <w:b/>
          <w:color w:val="404040" w:themeColor="text1" w:themeTint="bf"/>
          <w:sz w:val="24"/>
          <w:szCs w:val="24"/>
        </w:rPr>
        <w:t>dans une seule région</w:t>
      </w:r>
      <w:r>
        <w:rPr>
          <w:rFonts w:ascii="Times New Roman" w:hAnsi="Times New Roman"/>
          <w:color w:val="404040" w:themeColor="text1" w:themeTint="bf"/>
          <w:sz w:val="24"/>
          <w:szCs w:val="24"/>
        </w:rPr>
        <w:t xml:space="preserve">, ou dans plusieurs régions mais sur </w:t>
      </w:r>
      <w:r>
        <w:rPr>
          <w:rFonts w:ascii="Times New Roman" w:hAnsi="Times New Roman"/>
          <w:b/>
          <w:color w:val="404040" w:themeColor="text1" w:themeTint="bf"/>
          <w:sz w:val="24"/>
          <w:szCs w:val="24"/>
        </w:rPr>
        <w:t xml:space="preserve">moins de 9 départements </w:t>
      </w:r>
    </w:p>
    <w:p>
      <w:pPr>
        <w:pStyle w:val="WWStandard1"/>
        <w:keepNext w:val="true"/>
        <w:numPr>
          <w:ilvl w:val="0"/>
          <w:numId w:val="1"/>
        </w:numPr>
        <w:spacing w:before="0" w:after="120"/>
        <w:rPr>
          <w:rFonts w:ascii="Times New Roman" w:hAnsi="Times New Roman"/>
          <w:sz w:val="24"/>
          <w:szCs w:val="24"/>
        </w:rPr>
      </w:pPr>
      <w:r>
        <w:rPr>
          <w:rFonts w:ascii="Times New Roman" w:hAnsi="Times New Roman"/>
          <w:color w:val="404040" w:themeColor="text1" w:themeTint="bf"/>
          <w:sz w:val="24"/>
          <w:szCs w:val="24"/>
        </w:rPr>
        <w:t>et qui ne bénéficient pas déjà d’une habilitation nationale (pour celles qui sont membres d’un réseau)</w:t>
      </w:r>
      <w:r>
        <w:rPr>
          <w:rFonts w:ascii="Times New Roman" w:hAnsi="Times New Roman"/>
          <w:b/>
          <w:color w:val="404040" w:themeColor="text1" w:themeTint="bf"/>
          <w:sz w:val="24"/>
          <w:szCs w:val="24"/>
        </w:rPr>
        <w:t>.</w:t>
      </w:r>
      <w:r>
        <w:rPr>
          <w:rFonts w:ascii="Times New Roman" w:hAnsi="Times New Roman"/>
          <w:color w:val="404040" w:themeColor="text1" w:themeTint="bf"/>
          <w:sz w:val="24"/>
          <w:szCs w:val="24"/>
        </w:rPr>
        <w:t> </w:t>
      </w:r>
    </w:p>
    <w:p>
      <w:pPr>
        <w:pStyle w:val="WWStandard1"/>
        <w:keepNext w:val="true"/>
        <w:spacing w:before="0" w:after="120"/>
        <w:rPr>
          <w:rFonts w:ascii="Times New Roman" w:hAnsi="Times New Roman"/>
          <w:sz w:val="24"/>
          <w:szCs w:val="24"/>
        </w:rPr>
      </w:pPr>
      <w:r>
        <w:rPr>
          <w:rFonts w:ascii="Times New Roman" w:hAnsi="Times New Roman"/>
          <w:color w:val="404040" w:themeColor="text1" w:themeTint="bf"/>
          <w:sz w:val="24"/>
          <w:szCs w:val="24"/>
        </w:rPr>
        <w:t>La liste des structures bénéficiant d’une habilitation nationale peut être consultée sur le site du Ministère des solidarités et de la santé</w:t>
      </w:r>
    </w:p>
    <w:p>
      <w:pPr>
        <w:pStyle w:val="WWStandard1"/>
        <w:keepNext w:val="true"/>
        <w:rPr>
          <w:rFonts w:ascii="Times New Roman" w:hAnsi="Times New Roman"/>
          <w:sz w:val="24"/>
          <w:szCs w:val="24"/>
        </w:rPr>
      </w:pPr>
      <w:r>
        <w:rPr>
          <w:rFonts w:ascii="Times New Roman" w:hAnsi="Times New Roman"/>
          <w:color w:val="404040" w:themeColor="text1" w:themeTint="bf"/>
          <w:sz w:val="24"/>
          <w:szCs w:val="24"/>
        </w:rPr>
        <w:t>Les structures qui couvrent 9 départements ou plus sur au moins deux régions doivent demander une habilitation nationale.</w:t>
      </w:r>
    </w:p>
    <w:p>
      <w:pPr>
        <w:pStyle w:val="WWStandard1"/>
        <w:keepNext w:val="true"/>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ind w:left="525" w:firstLine="45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rPr>
          <w:sz w:val="28"/>
          <w:szCs w:val="28"/>
        </w:rPr>
      </w:pPr>
      <w:r>
        <w:rPr>
          <w:rFonts w:ascii="Times New Roman" w:hAnsi="Times New Roman"/>
          <w:b/>
          <w:color w:val="15568E"/>
          <w:sz w:val="28"/>
          <w:szCs w:val="28"/>
        </w:rPr>
        <w:t>Quelles sont les conditions à respecter pour être habilité ?</w:t>
      </w:r>
    </w:p>
    <w:p>
      <w:pPr>
        <w:pStyle w:val="WWStandard1"/>
        <w:rPr>
          <w:rFonts w:ascii="Times New Roman" w:hAnsi="Times New Roman"/>
          <w:b/>
          <w:b/>
          <w:color w:val="15568E"/>
        </w:rPr>
      </w:pPr>
      <w:r>
        <w:rPr>
          <w:rFonts w:ascii="Times New Roman" w:hAnsi="Times New Roman"/>
          <w:b/>
          <w:color w:val="15568E"/>
        </w:rPr>
      </w:r>
    </w:p>
    <w:p>
      <w:pPr>
        <w:pStyle w:val="WWStandard1"/>
        <w:ind w:left="525" w:firstLine="45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spacing w:before="0" w:after="120"/>
        <w:rPr>
          <w:rFonts w:ascii="Times New Roman" w:hAnsi="Times New Roman"/>
          <w:sz w:val="24"/>
          <w:szCs w:val="24"/>
        </w:rPr>
      </w:pPr>
      <w:r>
        <w:rPr>
          <w:rFonts w:ascii="Times New Roman" w:hAnsi="Times New Roman"/>
          <w:color w:val="404040" w:themeColor="text1" w:themeTint="bf"/>
          <w:sz w:val="24"/>
          <w:szCs w:val="24"/>
        </w:rPr>
        <w:t>L’aide alimentaire est un dispositif de lutte contre la précarité alimentaire. Aussi les structures qui demandent l’habilitation doivent participer aux objectifs fixés à l’article L266-1 du code de l’action sociale et des familles, et notamment :</w:t>
      </w:r>
    </w:p>
    <w:p>
      <w:pPr>
        <w:pStyle w:val="WWStandard1"/>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 La lutte contre la précarité alimentaire vise à favoriser l’accès à une alimentation sûre, diversifiée, de bonne qualité et en quantité suffisante aux personnes en situation de vulnérabilité économique ou sociale.</w:t>
      </w:r>
    </w:p>
    <w:p>
      <w:pPr>
        <w:pStyle w:val="WWStandard1"/>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Elle s’inscrit dans le respect du principe de dignité des personnes. Elle participe à la reconnaissance et au développement des capacités des personnes à agir pour elles-mêmes et dans leur environnement. »</w:t>
      </w:r>
    </w:p>
    <w:p>
      <w:pPr>
        <w:pStyle w:val="WWStandard1"/>
        <w:spacing w:before="0" w:after="12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spacing w:before="0" w:after="12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spacing w:before="0" w:after="12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spacing w:before="0" w:after="120"/>
        <w:rPr>
          <w:rFonts w:ascii="Times New Roman" w:hAnsi="Times New Roman"/>
          <w:sz w:val="24"/>
          <w:szCs w:val="24"/>
        </w:rPr>
      </w:pPr>
      <w:r>
        <w:rPr>
          <w:rFonts w:ascii="Times New Roman" w:hAnsi="Times New Roman"/>
          <w:color w:val="404040" w:themeColor="text1" w:themeTint="bf"/>
          <w:sz w:val="24"/>
          <w:szCs w:val="24"/>
        </w:rPr>
        <w:t xml:space="preserve">De plus, la personne morale doit satisfaire aux conditions suivantes: </w:t>
      </w:r>
    </w:p>
    <w:p>
      <w:pPr>
        <w:pStyle w:val="WWStandard1"/>
        <w:numPr>
          <w:ilvl w:val="0"/>
          <w:numId w:val="2"/>
        </w:numPr>
        <w:spacing w:before="0" w:after="120"/>
        <w:rPr>
          <w:rFonts w:ascii="Times New Roman" w:hAnsi="Times New Roman"/>
          <w:sz w:val="24"/>
          <w:szCs w:val="24"/>
        </w:rPr>
      </w:pPr>
      <w:r>
        <w:rPr>
          <w:rFonts w:ascii="Times New Roman" w:hAnsi="Times New Roman"/>
          <w:color w:val="404040" w:themeColor="text1" w:themeTint="bf"/>
          <w:sz w:val="24"/>
          <w:szCs w:val="24"/>
        </w:rPr>
        <w:t>Elle dispose des</w:t>
      </w:r>
      <w:r>
        <w:rPr>
          <w:rFonts w:ascii="Times New Roman" w:hAnsi="Times New Roman"/>
          <w:b w:val="false"/>
          <w:bCs w:val="false"/>
          <w:color w:val="404040" w:themeColor="text1" w:themeTint="bf"/>
          <w:sz w:val="24"/>
          <w:szCs w:val="24"/>
        </w:rPr>
        <w:t xml:space="preserve"> moyens p</w:t>
      </w:r>
      <w:r>
        <w:rPr>
          <w:rFonts w:ascii="Times New Roman" w:hAnsi="Times New Roman"/>
          <w:color w:val="404040" w:themeColor="text1" w:themeTint="bf"/>
          <w:sz w:val="24"/>
          <w:szCs w:val="24"/>
        </w:rPr>
        <w:t xml:space="preserve">our réaliser: </w:t>
      </w:r>
    </w:p>
    <w:p>
      <w:pPr>
        <w:pStyle w:val="WWStandard1"/>
        <w:numPr>
          <w:ilvl w:val="1"/>
          <w:numId w:val="2"/>
        </w:numPr>
        <w:spacing w:before="0" w:after="120"/>
        <w:rPr>
          <w:rFonts w:ascii="Times New Roman" w:hAnsi="Times New Roman"/>
          <w:sz w:val="24"/>
          <w:szCs w:val="24"/>
        </w:rPr>
      </w:pPr>
      <w:r>
        <w:rPr>
          <w:rFonts w:ascii="Times New Roman" w:hAnsi="Times New Roman"/>
          <w:color w:val="404040" w:themeColor="text1" w:themeTint="bf"/>
          <w:sz w:val="24"/>
          <w:szCs w:val="24"/>
        </w:rPr>
        <w:t>la distribution de denrées aux personnes en situation de vulnérabilité économique ou sociale (« structure distributrice »)</w:t>
      </w:r>
    </w:p>
    <w:p>
      <w:pPr>
        <w:pStyle w:val="WWStandard1"/>
        <w:numPr>
          <w:ilvl w:val="1"/>
          <w:numId w:val="2"/>
        </w:numPr>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 xml:space="preserve">ou la fourniture de denrées à des personnes morales de droit public ou à des personnes morales de droit privé habilitées à l’aide alimentaire (« structure fournisseuse ») </w:t>
      </w:r>
    </w:p>
    <w:p>
      <w:pPr>
        <w:pStyle w:val="WWStandard1"/>
        <w:numPr>
          <w:ilvl w:val="0"/>
          <w:numId w:val="2"/>
        </w:numPr>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 xml:space="preserve">Elle propose un accompagnement, qui comporte au moins des actions d’écoute, d’information ou d’orientation (pour les structures distributrices) </w:t>
      </w:r>
    </w:p>
    <w:p>
      <w:pPr>
        <w:pStyle w:val="WWStandard1"/>
        <w:numPr>
          <w:ilvl w:val="0"/>
          <w:numId w:val="2"/>
        </w:numPr>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 xml:space="preserve">Elle met en place des actions pour proposer autant que possible des produits sûrs, diversifiés et de bonne qualité. </w:t>
      </w:r>
    </w:p>
    <w:p>
      <w:pPr>
        <w:pStyle w:val="WWStandard1"/>
        <w:numPr>
          <w:ilvl w:val="0"/>
          <w:numId w:val="2"/>
        </w:numPr>
        <w:spacing w:before="0" w:after="120"/>
        <w:rPr>
          <w:b w:val="false"/>
          <w:b w:val="false"/>
          <w:bCs w:val="false"/>
        </w:rPr>
      </w:pPr>
      <w:r>
        <w:rPr>
          <w:rFonts w:ascii="Times New Roman" w:hAnsi="Times New Roman"/>
          <w:b w:val="false"/>
          <w:bCs w:val="false"/>
          <w:color w:val="404040" w:themeColor="text1" w:themeTint="bf"/>
          <w:sz w:val="24"/>
          <w:szCs w:val="24"/>
        </w:rPr>
        <w:t>Elle met en place des procédures pour respecter les normes d’hygiène et de sécurité des denrées alimentaires (Voir le guide des bonnes pratiques validé par l’Etat)</w:t>
      </w:r>
    </w:p>
    <w:p>
      <w:pPr>
        <w:pStyle w:val="WWStandard1"/>
        <w:numPr>
          <w:ilvl w:val="0"/>
          <w:numId w:val="2"/>
        </w:numPr>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Elle assure la traçabilité physique et comptable des denrées alimentaires à chaque étape de la réception, de la transformation, du stockage et de la distribution</w:t>
      </w:r>
    </w:p>
    <w:p>
      <w:pPr>
        <w:pStyle w:val="WWStandard1"/>
        <w:numPr>
          <w:ilvl w:val="0"/>
          <w:numId w:val="2"/>
        </w:numPr>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Elle met en place les procédures de collecte et de transmission des données statistiques relatives à l’activité d’aide alimentaire déclarées chaque année</w:t>
      </w:r>
    </w:p>
    <w:p>
      <w:pPr>
        <w:pStyle w:val="WWStandard1"/>
        <w:numPr>
          <w:ilvl w:val="0"/>
          <w:numId w:val="2"/>
        </w:numPr>
        <w:spacing w:before="0" w:after="120"/>
        <w:rPr/>
      </w:pPr>
      <w:r>
        <w:rPr>
          <w:rFonts w:ascii="Times New Roman" w:hAnsi="Times New Roman"/>
          <w:b w:val="false"/>
          <w:bCs w:val="false"/>
          <w:color w:val="404040" w:themeColor="text1" w:themeTint="bf"/>
          <w:sz w:val="24"/>
          <w:szCs w:val="24"/>
        </w:rPr>
        <w:t>Elle s’engage à se soumettre aux contrôles de l’habilitation.</w:t>
      </w:r>
    </w:p>
    <w:p>
      <w:pPr>
        <w:pStyle w:val="WWStandard1"/>
        <w:numPr>
          <w:ilvl w:val="0"/>
          <w:numId w:val="0"/>
        </w:numPr>
        <w:spacing w:before="0" w:after="120"/>
        <w:ind w:left="108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spacing w:before="0" w:after="120"/>
        <w:jc w:val="left"/>
        <w:rPr/>
      </w:pPr>
      <w:r>
        <w:rPr>
          <w:rFonts w:cs="Arial" w:ascii="Times New Roman" w:hAnsi="Times New Roman"/>
          <w:b/>
          <w:color w:val="15568E"/>
          <w:sz w:val="28"/>
          <w:szCs w:val="28"/>
        </w:rPr>
        <w:t>La durée de l’habilitation régionale</w:t>
      </w:r>
    </w:p>
    <w:p>
      <w:pPr>
        <w:pStyle w:val="WWStandard1"/>
        <w:spacing w:before="0" w:after="0"/>
        <w:rPr>
          <w:rFonts w:ascii="Times New Roman" w:hAnsi="Times New Roman" w:cs="Arial"/>
          <w:b/>
          <w:b/>
          <w:bCs/>
          <w:color w:val="15568E"/>
          <w:sz w:val="24"/>
          <w:szCs w:val="24"/>
        </w:rPr>
      </w:pPr>
      <w:r>
        <w:rPr>
          <w:rFonts w:cs="Arial" w:ascii="Times New Roman" w:hAnsi="Times New Roman"/>
          <w:b/>
          <w:bCs/>
          <w:color w:val="15568E"/>
          <w:sz w:val="24"/>
          <w:szCs w:val="24"/>
        </w:rPr>
      </w:r>
    </w:p>
    <w:p>
      <w:pPr>
        <w:pStyle w:val="WWStandard1"/>
        <w:numPr>
          <w:ilvl w:val="0"/>
          <w:numId w:val="6"/>
        </w:numPr>
        <w:spacing w:before="0" w:after="0"/>
        <w:rPr/>
      </w:pPr>
      <w:r>
        <w:rPr>
          <w:rFonts w:cs="Arial" w:ascii="Times New Roman" w:hAnsi="Times New Roman"/>
          <w:b/>
          <w:bCs/>
          <w:color w:val="auto"/>
          <w:sz w:val="24"/>
          <w:szCs w:val="24"/>
        </w:rPr>
        <w:t>La première habilitation</w:t>
      </w:r>
      <w:r>
        <w:rPr>
          <w:rFonts w:cs="Arial" w:ascii="Times New Roman" w:hAnsi="Times New Roman"/>
          <w:b w:val="false"/>
          <w:bCs w:val="false"/>
          <w:color w:val="auto"/>
          <w:sz w:val="24"/>
          <w:szCs w:val="24"/>
        </w:rPr>
        <w:t xml:space="preserve"> est accordée par le préfet de région pour une durée pouvant aller d'un an à trois ans, en fonction de l'expérience du demandeur et des garanties qu’il présente.</w:t>
      </w:r>
    </w:p>
    <w:p>
      <w:pPr>
        <w:pStyle w:val="WWStandard1"/>
        <w:numPr>
          <w:ilvl w:val="0"/>
          <w:numId w:val="0"/>
        </w:numPr>
        <w:spacing w:before="0" w:after="0"/>
        <w:ind w:left="1080" w:hanging="0"/>
        <w:rPr>
          <w:rFonts w:ascii="Times New Roman" w:hAnsi="Times New Roman" w:cs="Arial"/>
          <w:b w:val="false"/>
          <w:b w:val="false"/>
          <w:bCs w:val="false"/>
          <w:color w:val="auto"/>
          <w:sz w:val="24"/>
          <w:szCs w:val="24"/>
        </w:rPr>
      </w:pPr>
      <w:r>
        <w:rPr>
          <w:rFonts w:cs="Arial" w:ascii="Times New Roman" w:hAnsi="Times New Roman"/>
          <w:b w:val="false"/>
          <w:bCs w:val="false"/>
          <w:color w:val="auto"/>
          <w:sz w:val="24"/>
          <w:szCs w:val="24"/>
        </w:rPr>
      </w:r>
    </w:p>
    <w:p>
      <w:pPr>
        <w:pStyle w:val="WWStandard1"/>
        <w:numPr>
          <w:ilvl w:val="0"/>
          <w:numId w:val="6"/>
        </w:numPr>
        <w:spacing w:before="0" w:after="0"/>
        <w:rPr/>
      </w:pPr>
      <w:r>
        <w:rPr>
          <w:rFonts w:cs="Arial" w:ascii="Times New Roman" w:hAnsi="Times New Roman"/>
          <w:b/>
          <w:bCs/>
          <w:color w:val="auto"/>
          <w:sz w:val="24"/>
          <w:szCs w:val="24"/>
        </w:rPr>
        <w:t xml:space="preserve">Les habilitations suivantes </w:t>
      </w:r>
      <w:r>
        <w:rPr>
          <w:rFonts w:cs="Arial" w:ascii="Times New Roman" w:hAnsi="Times New Roman"/>
          <w:b w:val="false"/>
          <w:bCs w:val="false"/>
          <w:color w:val="auto"/>
          <w:sz w:val="24"/>
          <w:szCs w:val="24"/>
        </w:rPr>
        <w:t>sont accordées pour une durée de cinq ans.</w:t>
      </w:r>
    </w:p>
    <w:p>
      <w:pPr>
        <w:pStyle w:val="WWStandard1"/>
        <w:numPr>
          <w:ilvl w:val="0"/>
          <w:numId w:val="0"/>
        </w:numPr>
        <w:spacing w:before="0" w:after="0"/>
        <w:ind w:left="1080" w:hanging="0"/>
        <w:rPr>
          <w:rFonts w:ascii="Times New Roman" w:hAnsi="Times New Roman" w:cs="Arial"/>
          <w:b w:val="false"/>
          <w:b w:val="false"/>
          <w:bCs w:val="false"/>
          <w:color w:val="auto"/>
        </w:rPr>
      </w:pPr>
      <w:r>
        <w:rPr>
          <w:rFonts w:cs="Arial" w:ascii="Times New Roman" w:hAnsi="Times New Roman"/>
          <w:b w:val="false"/>
          <w:bCs w:val="false"/>
          <w:color w:val="auto"/>
        </w:rPr>
      </w:r>
    </w:p>
    <w:p>
      <w:pPr>
        <w:pStyle w:val="WWStandard1"/>
        <w:numPr>
          <w:ilvl w:val="0"/>
          <w:numId w:val="0"/>
        </w:numPr>
        <w:spacing w:before="0" w:after="0"/>
        <w:ind w:left="1080" w:hanging="0"/>
        <w:rPr>
          <w:rFonts w:ascii="Times New Roman" w:hAnsi="Times New Roman" w:cs="Arial"/>
          <w:b w:val="false"/>
          <w:b w:val="false"/>
          <w:bCs w:val="false"/>
          <w:color w:val="auto"/>
          <w:sz w:val="24"/>
          <w:szCs w:val="24"/>
        </w:rPr>
      </w:pPr>
      <w:r>
        <w:rPr>
          <w:rFonts w:cs="Arial" w:ascii="Times New Roman" w:hAnsi="Times New Roman"/>
          <w:b w:val="false"/>
          <w:bCs w:val="false"/>
          <w:color w:val="auto"/>
          <w:sz w:val="24"/>
          <w:szCs w:val="24"/>
        </w:rPr>
      </w:r>
    </w:p>
    <w:p>
      <w:pPr>
        <w:pStyle w:val="WWStandard1"/>
        <w:spacing w:before="0" w:after="0"/>
        <w:jc w:val="left"/>
        <w:rPr>
          <w:sz w:val="24"/>
          <w:szCs w:val="24"/>
        </w:rPr>
      </w:pPr>
      <w:r>
        <w:rPr>
          <w:rFonts w:cs="Arial" w:ascii="Times New Roman" w:hAnsi="Times New Roman"/>
          <w:b/>
          <w:color w:val="15568E"/>
          <w:sz w:val="28"/>
          <w:szCs w:val="28"/>
        </w:rPr>
        <w:t>Les implications de l’habilitation pour les structures concernées</w:t>
      </w:r>
    </w:p>
    <w:p>
      <w:pPr>
        <w:pStyle w:val="WWStandard1"/>
        <w:rPr>
          <w:rFonts w:ascii="Times New Roman" w:hAnsi="Times New Roman" w:cs="Arial"/>
          <w:b/>
          <w:b/>
          <w:color w:val="404040" w:themeColor="text1" w:themeTint="bf"/>
          <w:sz w:val="24"/>
          <w:szCs w:val="24"/>
        </w:rPr>
      </w:pPr>
      <w:r>
        <w:rPr>
          <w:rFonts w:cs="Arial" w:ascii="Times New Roman" w:hAnsi="Times New Roman"/>
          <w:b/>
          <w:color w:val="404040" w:themeColor="text1" w:themeTint="bf"/>
          <w:sz w:val="24"/>
          <w:szCs w:val="24"/>
        </w:rPr>
      </w:r>
    </w:p>
    <w:p>
      <w:pPr>
        <w:pStyle w:val="WWStandard1"/>
        <w:rPr>
          <w:rFonts w:ascii="Times New Roman" w:hAnsi="Times New Roman" w:cs="Arial"/>
          <w:b/>
          <w:b/>
          <w:color w:val="404040" w:themeColor="text1" w:themeTint="bf"/>
          <w:sz w:val="24"/>
          <w:szCs w:val="24"/>
        </w:rPr>
      </w:pPr>
      <w:r>
        <w:rPr>
          <w:rFonts w:cs="Arial" w:ascii="Times New Roman" w:hAnsi="Times New Roman"/>
          <w:b/>
          <w:color w:val="404040" w:themeColor="text1" w:themeTint="bf"/>
          <w:sz w:val="24"/>
          <w:szCs w:val="24"/>
        </w:rPr>
      </w:r>
    </w:p>
    <w:p>
      <w:pPr>
        <w:pStyle w:val="WWStandard1"/>
        <w:numPr>
          <w:ilvl w:val="0"/>
          <w:numId w:val="5"/>
        </w:numPr>
        <w:rPr/>
      </w:pPr>
      <w:r>
        <w:rPr>
          <w:rFonts w:cs="Arial" w:ascii="Times New Roman" w:hAnsi="Times New Roman"/>
          <w:b/>
          <w:bCs/>
          <w:color w:val="404040" w:themeColor="text1" w:themeTint="bf"/>
          <w:sz w:val="24"/>
          <w:szCs w:val="24"/>
        </w:rPr>
        <w:t>Les personnes morales habilitées peuvent faire l’objet d’un contrôle</w:t>
      </w:r>
      <w:r>
        <w:rPr>
          <w:rFonts w:cs="Arial" w:ascii="Times New Roman" w:hAnsi="Times New Roman"/>
          <w:b w:val="false"/>
          <w:bCs w:val="false"/>
          <w:color w:val="404040" w:themeColor="text1" w:themeTint="bf"/>
          <w:sz w:val="24"/>
          <w:szCs w:val="24"/>
        </w:rPr>
        <w:t xml:space="preserve">. L’autorité compétente pour délivrer l'habilitation en contrôle le respect. Le contrôle a pour objet la vérification du respect des obligations résultant de l'habilitation.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En cas de manquements majeurs constatés lors d’un contrôle, la personne morale peut voir son habilitation suspendue pendant 6 mois ou retirée si, à l’issue de cette période, la structure n’a pas mis fin aux manquements constatés lors du contrôle.</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5"/>
        </w:numPr>
        <w:rPr/>
      </w:pPr>
      <w:r>
        <w:rPr>
          <w:rFonts w:cs="Arial" w:ascii="Times New Roman" w:hAnsi="Times New Roman"/>
          <w:b/>
          <w:bCs/>
          <w:color w:val="404040" w:themeColor="text1" w:themeTint="bf"/>
          <w:sz w:val="24"/>
          <w:szCs w:val="24"/>
        </w:rPr>
        <w:t>Les personnes morales de droit privé habilitées doivent faire les démarches</w:t>
      </w:r>
      <w:r>
        <w:rPr>
          <w:rFonts w:cs="Arial" w:ascii="Times New Roman" w:hAnsi="Times New Roman"/>
          <w:b w:val="false"/>
          <w:bCs w:val="false"/>
          <w:color w:val="404040" w:themeColor="text1" w:themeTint="bf"/>
          <w:sz w:val="24"/>
          <w:szCs w:val="24"/>
        </w:rPr>
        <w:t xml:space="preserve"> auprès des différents acteurs publics (Etat, collectivités locales notamment…) pour l’obtention de contributions publiques dont elles estiment avoir besoin pour la mise en œuvre de l’aide alimentaire (ex : local, subventions publiques…).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 xml:space="preserve">Dès lors, l’habilitation au niveau régional ne donne pas droit à la perception automatique de contribution publiques par la structure habilitée car la procédure d’attribution de contributions publiques est spécifique à chaque collectivité publique.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 xml:space="preserve">Il en est de même pour l’obtention de crédits ou des denrées financées sur fonds publics (Fonds européens d’aide aux plus démunis, Crédit national des épiceries sociales) qui suppose, par exemple, un conventionnement avec une banque alimentaire.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 xml:space="preserve">La sollicitation de contributions publiques pour la mise en œuvre de l’aide alimentaire est d’autant plus justifiée pour les personnes morales de droit privé de création récente qui ont été habilitées par le préfet de région pour une période courte (1 à 2 ans) sur la base d’un projet.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A défaut d’obtention de contributions publiques pour la mise en œuvre de l’aide l’alimentaire pendant la durée d’habilitation, l’autorité administrative sera contrainte de ne pas renouveler cette dernière en cas de nouvelle demande.</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5"/>
        </w:numPr>
        <w:rPr/>
      </w:pPr>
      <w:r>
        <w:rPr>
          <w:rFonts w:cs="Arial" w:ascii="Times New Roman" w:hAnsi="Times New Roman"/>
          <w:b/>
          <w:bCs/>
          <w:color w:val="404040" w:themeColor="text1" w:themeTint="bf"/>
          <w:sz w:val="24"/>
          <w:szCs w:val="24"/>
        </w:rPr>
        <w:t xml:space="preserve">Les personnes morales de droit privé doivent être en mesure de fournir à l’autorité administrative les informations </w:t>
      </w:r>
      <w:r>
        <w:rPr>
          <w:rFonts w:cs="Arial" w:ascii="Times New Roman" w:hAnsi="Times New Roman"/>
          <w:b w:val="false"/>
          <w:bCs w:val="false"/>
          <w:color w:val="404040" w:themeColor="text1" w:themeTint="bf"/>
          <w:sz w:val="24"/>
          <w:szCs w:val="24"/>
        </w:rPr>
        <w:t>nécessaires relatives à l’aide alimentaire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 xml:space="preserve">- Il s’agit d’une part de </w:t>
      </w:r>
      <w:r>
        <w:rPr>
          <w:rFonts w:cs="Arial" w:ascii="Times New Roman" w:hAnsi="Times New Roman"/>
          <w:b/>
          <w:bCs/>
          <w:color w:val="404040" w:themeColor="text1" w:themeTint="bf"/>
          <w:sz w:val="24"/>
          <w:szCs w:val="24"/>
        </w:rPr>
        <w:t>répondre aux enquêtes annuelles</w:t>
      </w:r>
      <w:r>
        <w:rPr>
          <w:rFonts w:cs="Arial" w:ascii="Times New Roman" w:hAnsi="Times New Roman"/>
          <w:b w:val="false"/>
          <w:bCs w:val="false"/>
          <w:color w:val="404040" w:themeColor="text1" w:themeTint="bf"/>
          <w:sz w:val="24"/>
          <w:szCs w:val="24"/>
        </w:rPr>
        <w:t xml:space="preserve"> concernant les données portant sur leur activité, sur les denrées distribuées et, une fois rendues anonymes, sur le nombre de bénéficiaires de l'aide alimentaire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color w:val="0066FF"/>
        </w:rPr>
      </w:pPr>
      <w:r>
        <w:rPr>
          <w:rFonts w:cs="Arial" w:ascii="Times New Roman" w:hAnsi="Times New Roman"/>
          <w:b w:val="false"/>
          <w:bCs w:val="false"/>
          <w:color w:val="auto" w:themeTint="bf"/>
          <w:sz w:val="24"/>
          <w:szCs w:val="24"/>
        </w:rPr>
        <w:t xml:space="preserve">-D’autre part, la personne ayant qualité pour représenter la personne morale informe la DRIHL, au plus tard le 31 décembre de chaque année, de toute modification substantielle portant sur l'un des éléments constitutifs du dossier de demande d'habilitation (ex : changement d’adresse du siège, changement de président…) ; </w:t>
      </w:r>
    </w:p>
    <w:p>
      <w:pPr>
        <w:pStyle w:val="WWStandard1"/>
        <w:numPr>
          <w:ilvl w:val="0"/>
          <w:numId w:val="0"/>
        </w:numPr>
        <w:ind w:left="720" w:hanging="0"/>
        <w:rPr>
          <w:rFonts w:ascii="Times New Roman" w:hAnsi="Times New Roman" w:cs="Arial"/>
          <w:b w:val="false"/>
          <w:b w:val="false"/>
          <w:bCs w:val="false"/>
          <w:color w:val="auto" w:themeTint="bf"/>
          <w:sz w:val="24"/>
          <w:szCs w:val="24"/>
        </w:rPr>
      </w:pPr>
      <w:r>
        <w:rPr>
          <w:rFonts w:cs="Arial" w:ascii="Times New Roman" w:hAnsi="Times New Roman"/>
          <w:b w:val="false"/>
          <w:bCs w:val="false"/>
          <w:color w:val="auto" w:themeTint="bf"/>
          <w:sz w:val="24"/>
          <w:szCs w:val="24"/>
        </w:rPr>
      </w:r>
    </w:p>
    <w:p>
      <w:pPr>
        <w:pStyle w:val="WWStandard1"/>
        <w:numPr>
          <w:ilvl w:val="0"/>
          <w:numId w:val="0"/>
        </w:numPr>
        <w:ind w:left="720" w:hanging="0"/>
        <w:rPr>
          <w:color w:val="auto"/>
        </w:rPr>
      </w:pPr>
      <w:r>
        <w:rPr>
          <w:rFonts w:cs="Arial" w:ascii="Times New Roman" w:hAnsi="Times New Roman"/>
          <w:b w:val="false"/>
          <w:bCs w:val="false"/>
          <w:color w:val="auto" w:themeTint="bf"/>
          <w:sz w:val="24"/>
          <w:szCs w:val="24"/>
        </w:rPr>
        <w:t xml:space="preserve">- De même, le représentant de l’association informe la  DRIHL, au plus tard le 31 décembre de chaque </w:t>
      </w:r>
      <w:r>
        <w:rPr>
          <w:rFonts w:cs="Arial" w:ascii="Times New Roman" w:hAnsi="Times New Roman"/>
          <w:b w:val="false"/>
          <w:bCs w:val="false"/>
          <w:color w:val="auto" w:themeTint="bf"/>
          <w:sz w:val="24"/>
          <w:szCs w:val="24"/>
          <w:u w:val="single"/>
        </w:rPr>
        <w:t xml:space="preserve">année </w:t>
      </w:r>
      <w:r>
        <w:rPr>
          <w:rFonts w:cs="Arial" w:ascii="Times New Roman" w:hAnsi="Times New Roman"/>
          <w:b/>
          <w:bCs/>
          <w:color w:val="auto" w:themeTint="bf"/>
          <w:sz w:val="24"/>
          <w:szCs w:val="24"/>
          <w:u w:val="single"/>
        </w:rPr>
        <w:t>paire</w:t>
      </w:r>
      <w:r>
        <w:rPr>
          <w:rFonts w:cs="Arial" w:ascii="Times New Roman" w:hAnsi="Times New Roman"/>
          <w:b w:val="false"/>
          <w:bCs w:val="false"/>
          <w:color w:val="auto" w:themeTint="bf"/>
          <w:sz w:val="24"/>
          <w:szCs w:val="24"/>
          <w:u w:val="none"/>
        </w:rPr>
        <w:t xml:space="preserve"> </w:t>
      </w:r>
      <w:r>
        <w:rPr>
          <w:rFonts w:cs="Arial" w:ascii="Times New Roman" w:hAnsi="Times New Roman"/>
          <w:b w:val="false"/>
          <w:bCs w:val="false"/>
          <w:color w:val="auto" w:themeTint="bf"/>
          <w:sz w:val="24"/>
          <w:szCs w:val="24"/>
        </w:rPr>
        <w:t>de toute modification de la liste des sites qui réalisent l’activité d’aide alimentaire.</w:t>
      </w:r>
    </w:p>
    <w:p>
      <w:pPr>
        <w:pStyle w:val="WWStandard1"/>
        <w:rPr>
          <w:rFonts w:ascii="Times New Roman" w:hAnsi="Times New Roman" w:cs="Arial"/>
          <w:b w:val="false"/>
          <w:b w:val="false"/>
          <w:bCs w:val="false"/>
          <w:color w:val="0066FF" w:themeTint="bf"/>
          <w:sz w:val="24"/>
          <w:szCs w:val="24"/>
        </w:rPr>
      </w:pPr>
      <w:r>
        <w:rPr>
          <w:rFonts w:cs="Arial" w:ascii="Times New Roman" w:hAnsi="Times New Roman"/>
          <w:b w:val="false"/>
          <w:bCs w:val="false"/>
          <w:color w:val="0066FF" w:themeTint="bf"/>
          <w:sz w:val="24"/>
          <w:szCs w:val="24"/>
        </w:rPr>
      </w:r>
    </w:p>
    <w:p>
      <w:pPr>
        <w:pStyle w:val="WWStandard1"/>
        <w:numPr>
          <w:ilvl w:val="0"/>
          <w:numId w:val="0"/>
        </w:numPr>
        <w:ind w:left="720" w:hanging="0"/>
        <w:rPr>
          <w:rFonts w:ascii="Times New Roman" w:hAnsi="Times New Roman" w:cs="Arial"/>
          <w:b w:val="false"/>
          <w:b w:val="false"/>
          <w:bCs w:val="false"/>
          <w:color w:val="0066FF" w:themeTint="bf"/>
          <w:sz w:val="24"/>
          <w:szCs w:val="24"/>
        </w:rPr>
      </w:pPr>
      <w:r>
        <w:rPr>
          <w:rFonts w:cs="Arial" w:ascii="Times New Roman" w:hAnsi="Times New Roman"/>
          <w:b w:val="false"/>
          <w:bCs w:val="false"/>
          <w:color w:val="0066FF" w:themeTint="bf"/>
          <w:sz w:val="24"/>
          <w:szCs w:val="24"/>
        </w:rPr>
      </w:r>
    </w:p>
    <w:p>
      <w:pPr>
        <w:pStyle w:val="WWStandard1"/>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rPr>
          <w:rFonts w:ascii="Times New Roman" w:hAnsi="Times New Roman" w:cs="Arial"/>
          <w:b/>
          <w:b/>
          <w:color w:val="404040" w:themeColor="text1" w:themeTint="bf"/>
          <w:sz w:val="24"/>
          <w:szCs w:val="24"/>
        </w:rPr>
      </w:pPr>
      <w:r>
        <w:rPr>
          <w:rFonts w:cs="Arial" w:ascii="Times New Roman" w:hAnsi="Times New Roman"/>
          <w:b/>
          <w:color w:val="404040" w:themeColor="text1" w:themeTint="bf"/>
          <w:sz w:val="24"/>
          <w:szCs w:val="24"/>
        </w:rPr>
      </w:r>
    </w:p>
    <w:p>
      <w:pPr>
        <w:pStyle w:val="WWStandard1"/>
        <w:rPr/>
      </w:pPr>
      <w:r>
        <w:rPr/>
      </w:r>
    </w:p>
    <w:sectPr>
      <w:footerReference w:type="default" r:id="rId2"/>
      <w:type w:val="nextPage"/>
      <w:pgSz w:w="11906" w:h="16838"/>
      <w:pgMar w:left="1134" w:right="1134" w:header="0" w:top="1134" w:footer="1134" w:bottom="15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EUAlbertin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4</w:t>
    </w:r>
    <w:r>
      <w:rP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Wingdings" w:hAnsi="Wingdings" w:cs="Wingdings" w:hint="default"/>
        <w:sz w:val="24"/>
        <w:b w:val="false"/>
        <w:rFonts w:cs="Open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bullet"/>
      <w:lvlText w:val=""/>
      <w:lvlJc w:val="left"/>
      <w:pPr>
        <w:tabs>
          <w:tab w:val="num" w:pos="1080"/>
        </w:tabs>
        <w:ind w:left="1080" w:hanging="360"/>
      </w:pPr>
      <w:rPr>
        <w:rFonts w:ascii="Wingdings" w:hAnsi="Wingdings" w:cs="Wingdings" w:hint="default"/>
        <w:rFonts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4483"/>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fr-FR" w:eastAsia="en-US" w:bidi="ar-SA"/>
    </w:rPr>
  </w:style>
  <w:style w:type="paragraph" w:styleId="Titre1">
    <w:name w:val="Heading 1"/>
    <w:basedOn w:val="Normal"/>
    <w:next w:val="Normal"/>
    <w:link w:val="Titre1Car"/>
    <w:uiPriority w:val="9"/>
    <w:qFormat/>
    <w:rsid w:val="003d245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3">
    <w:name w:val="Heading 3"/>
    <w:basedOn w:val="Normal"/>
    <w:next w:val="Normal"/>
    <w:link w:val="Titre3Car"/>
    <w:uiPriority w:val="99"/>
    <w:qFormat/>
    <w:rsid w:val="0044025e"/>
    <w:pPr>
      <w:keepNext w:val="true"/>
      <w:spacing w:before="240" w:after="60"/>
      <w:outlineLvl w:val="0"/>
    </w:pPr>
    <w:rPr>
      <w:rFonts w:ascii="Cambria" w:hAnsi="Cambria" w:eastAsia="Times New Roman"/>
      <w:b/>
      <w:bCs/>
      <w:sz w:val="26"/>
      <w:szCs w:val="26"/>
    </w:rPr>
  </w:style>
  <w:style w:type="paragraph" w:styleId="Titre4">
    <w:name w:val="Heading 4"/>
    <w:basedOn w:val="Normal"/>
    <w:next w:val="Normal"/>
    <w:link w:val="Titre4Car"/>
    <w:uiPriority w:val="99"/>
    <w:qFormat/>
    <w:rsid w:val="0044025e"/>
    <w:pPr>
      <w:keepNext w:val="true"/>
      <w:spacing w:before="240" w:after="60"/>
      <w:outlineLvl w:val="3"/>
    </w:pPr>
    <w:rPr>
      <w:rFonts w:eastAsia="Times New Roman"/>
      <w:b/>
      <w:bCs/>
      <w:sz w:val="28"/>
      <w:szCs w:val="2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9"/>
    <w:qFormat/>
    <w:rsid w:val="0044025e"/>
    <w:rPr>
      <w:rFonts w:ascii="Cambria" w:hAnsi="Cambria" w:eastAsia="Times New Roman" w:cs="Times New Roman"/>
      <w:b/>
      <w:bCs/>
      <w:sz w:val="26"/>
      <w:szCs w:val="26"/>
    </w:rPr>
  </w:style>
  <w:style w:type="character" w:styleId="Titre4Car" w:customStyle="1">
    <w:name w:val="Titre 4 Car"/>
    <w:basedOn w:val="DefaultParagraphFont"/>
    <w:link w:val="Titre4"/>
    <w:uiPriority w:val="99"/>
    <w:qFormat/>
    <w:rsid w:val="0044025e"/>
    <w:rPr>
      <w:rFonts w:ascii="Calibri" w:hAnsi="Calibri" w:eastAsia="Times New Roman" w:cs="Times New Roman"/>
      <w:b/>
      <w:bCs/>
      <w:sz w:val="28"/>
      <w:szCs w:val="28"/>
    </w:rPr>
  </w:style>
  <w:style w:type="character" w:styleId="Strong">
    <w:name w:val="Strong"/>
    <w:basedOn w:val="DefaultParagraphFont"/>
    <w:uiPriority w:val="22"/>
    <w:qFormat/>
    <w:rsid w:val="0044025e"/>
    <w:rPr>
      <w:rFonts w:cs="Times New Roman"/>
      <w:b/>
      <w:bCs/>
    </w:rPr>
  </w:style>
  <w:style w:type="character" w:styleId="Annotationreference">
    <w:name w:val="annotation reference"/>
    <w:basedOn w:val="DefaultParagraphFont"/>
    <w:uiPriority w:val="99"/>
    <w:semiHidden/>
    <w:qFormat/>
    <w:rsid w:val="0044025e"/>
    <w:rPr>
      <w:rFonts w:cs="Times New Roman"/>
      <w:sz w:val="16"/>
      <w:szCs w:val="16"/>
    </w:rPr>
  </w:style>
  <w:style w:type="character" w:styleId="CommentaireCar" w:customStyle="1">
    <w:name w:val="Commentaire Car"/>
    <w:basedOn w:val="DefaultParagraphFont"/>
    <w:link w:val="Commentaire"/>
    <w:uiPriority w:val="99"/>
    <w:semiHidden/>
    <w:qFormat/>
    <w:rsid w:val="0044025e"/>
    <w:rPr>
      <w:rFonts w:ascii="Calibri" w:hAnsi="Calibri" w:eastAsia="Calibri" w:cs="Times New Roman"/>
      <w:sz w:val="20"/>
      <w:szCs w:val="20"/>
    </w:rPr>
  </w:style>
  <w:style w:type="character" w:styleId="ObjetducommentaireCar" w:customStyle="1">
    <w:name w:val="Objet du commentaire Car"/>
    <w:basedOn w:val="CommentaireCar"/>
    <w:link w:val="Objetducommentaire"/>
    <w:uiPriority w:val="99"/>
    <w:semiHidden/>
    <w:qFormat/>
    <w:rsid w:val="0044025e"/>
    <w:rPr>
      <w:rFonts w:ascii="Calibri" w:hAnsi="Calibri" w:eastAsia="Calibri" w:cs="Times New Roman"/>
      <w:b/>
      <w:bCs/>
      <w:sz w:val="20"/>
      <w:szCs w:val="20"/>
    </w:rPr>
  </w:style>
  <w:style w:type="character" w:styleId="TextedebullesCar" w:customStyle="1">
    <w:name w:val="Texte de bulles Car"/>
    <w:basedOn w:val="DefaultParagraphFont"/>
    <w:link w:val="Textedebulles"/>
    <w:uiPriority w:val="99"/>
    <w:semiHidden/>
    <w:qFormat/>
    <w:rsid w:val="0044025e"/>
    <w:rPr>
      <w:rFonts w:ascii="Tahoma" w:hAnsi="Tahoma" w:eastAsia="Calibri" w:cs="Tahoma"/>
      <w:sz w:val="16"/>
      <w:szCs w:val="16"/>
    </w:rPr>
  </w:style>
  <w:style w:type="character" w:styleId="Ancredenotedebasdepage">
    <w:name w:val="Ancre de note de bas de page"/>
    <w:rPr>
      <w:rFonts w:cs="Times New Roman"/>
      <w:vertAlign w:val="superscript"/>
    </w:rPr>
  </w:style>
  <w:style w:type="character" w:styleId="FootnoteCharacters">
    <w:name w:val="Footnote Characters"/>
    <w:basedOn w:val="DefaultParagraphFont"/>
    <w:uiPriority w:val="99"/>
    <w:qFormat/>
    <w:rsid w:val="0044025e"/>
    <w:rPr>
      <w:rFonts w:cs="Times New Roman"/>
      <w:vertAlign w:val="superscript"/>
    </w:rPr>
  </w:style>
  <w:style w:type="character" w:styleId="Notereference2" w:customStyle="1">
    <w:name w:val="note reference_2"/>
    <w:basedOn w:val="DefaultParagraphFont"/>
    <w:uiPriority w:val="99"/>
    <w:qFormat/>
    <w:rsid w:val="0044025e"/>
    <w:rPr>
      <w:rFonts w:cs="Times New Roman"/>
      <w:vertAlign w:val="superscript"/>
    </w:rPr>
  </w:style>
  <w:style w:type="character" w:styleId="Accentuationforte" w:customStyle="1">
    <w:name w:val="Accentuation forte"/>
    <w:uiPriority w:val="99"/>
    <w:qFormat/>
    <w:rsid w:val="0044025e"/>
    <w:rPr>
      <w:b/>
    </w:rPr>
  </w:style>
  <w:style w:type="character" w:styleId="EntteCar" w:customStyle="1">
    <w:name w:val="En-tête Car"/>
    <w:basedOn w:val="DefaultParagraphFont"/>
    <w:link w:val="En-tte"/>
    <w:uiPriority w:val="99"/>
    <w:qFormat/>
    <w:rsid w:val="0044025e"/>
    <w:rPr>
      <w:rFonts w:ascii="Calibri" w:hAnsi="Calibri" w:eastAsia="Calibri" w:cs="Times New Roman"/>
    </w:rPr>
  </w:style>
  <w:style w:type="character" w:styleId="PieddepageCar" w:customStyle="1">
    <w:name w:val="Pied de page Car"/>
    <w:basedOn w:val="DefaultParagraphFont"/>
    <w:link w:val="Pieddepage"/>
    <w:uiPriority w:val="99"/>
    <w:qFormat/>
    <w:rsid w:val="0044025e"/>
    <w:rPr>
      <w:rFonts w:ascii="Calibri" w:hAnsi="Calibri" w:eastAsia="Calibri" w:cs="Times New Roman"/>
    </w:rPr>
  </w:style>
  <w:style w:type="character" w:styleId="LienInternet">
    <w:name w:val="Lien Internet"/>
    <w:basedOn w:val="DefaultParagraphFont"/>
    <w:uiPriority w:val="99"/>
    <w:rsid w:val="0044025e"/>
    <w:rPr>
      <w:rFonts w:cs="Times New Roman"/>
      <w:color w:val="0000FF"/>
      <w:u w:val="single"/>
    </w:rPr>
  </w:style>
  <w:style w:type="character" w:styleId="FollowedHyperlink">
    <w:name w:val="FollowedHyperlink"/>
    <w:basedOn w:val="DefaultParagraphFont"/>
    <w:uiPriority w:val="99"/>
    <w:semiHidden/>
    <w:qFormat/>
    <w:rsid w:val="0044025e"/>
    <w:rPr>
      <w:rFonts w:cs="Times New Roman"/>
      <w:color w:val="800080"/>
      <w:u w:val="single"/>
    </w:rPr>
  </w:style>
  <w:style w:type="character" w:styleId="NotedefinCar" w:customStyle="1">
    <w:name w:val="Note de fin Car"/>
    <w:basedOn w:val="DefaultParagraphFont"/>
    <w:link w:val="Notedefin"/>
    <w:uiPriority w:val="99"/>
    <w:semiHidden/>
    <w:qFormat/>
    <w:rsid w:val="0044025e"/>
    <w:rPr>
      <w:rFonts w:ascii="Calibri" w:hAnsi="Calibri" w:eastAsia="Calibri" w:cs="Times New Roman"/>
      <w:sz w:val="20"/>
      <w:szCs w:val="20"/>
    </w:rPr>
  </w:style>
  <w:style w:type="character" w:styleId="Ancredenotedefin">
    <w:name w:val="Ancre de note de fin"/>
    <w:rPr>
      <w:rFonts w:cs="Times New Roman"/>
      <w:vertAlign w:val="superscript"/>
    </w:rPr>
  </w:style>
  <w:style w:type="character" w:styleId="EndnoteCharacters">
    <w:name w:val="Endnote Characters"/>
    <w:basedOn w:val="DefaultParagraphFont"/>
    <w:uiPriority w:val="99"/>
    <w:semiHidden/>
    <w:qFormat/>
    <w:rsid w:val="0044025e"/>
    <w:rPr>
      <w:rFonts w:cs="Times New Roman"/>
      <w:vertAlign w:val="superscript"/>
    </w:rPr>
  </w:style>
  <w:style w:type="character" w:styleId="NotedebasdepageCar" w:customStyle="1">
    <w:name w:val="Note de bas de page Car"/>
    <w:basedOn w:val="DefaultParagraphFont"/>
    <w:link w:val="Notedebasdepage"/>
    <w:uiPriority w:val="99"/>
    <w:semiHidden/>
    <w:qFormat/>
    <w:rsid w:val="0044025e"/>
    <w:rPr>
      <w:rFonts w:ascii="Calibri" w:hAnsi="Calibri" w:eastAsia="Calibri" w:cs="Times New Roman"/>
      <w:sz w:val="20"/>
      <w:szCs w:val="20"/>
    </w:rPr>
  </w:style>
  <w:style w:type="character" w:styleId="Titre1Car" w:customStyle="1">
    <w:name w:val="Titre 1 Car"/>
    <w:basedOn w:val="DefaultParagraphFont"/>
    <w:link w:val="Titre1"/>
    <w:uiPriority w:val="9"/>
    <w:qFormat/>
    <w:rsid w:val="003d245d"/>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b/>
      <w:i w:val="false"/>
      <w:caps w:val="false"/>
      <w:smallCaps w:val="false"/>
      <w:strike w:val="false"/>
      <w:dstrike w:val="false"/>
      <w:vanish w:val="false"/>
      <w:color w:val="00000A"/>
      <w:spacing w:val="0"/>
      <w:position w:val="0"/>
      <w:sz w:val="24"/>
      <w:sz w:val="24"/>
      <w:u w:val="none"/>
      <w:vertAlign w:val="baseline"/>
      <w:em w:val="none"/>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Symbol"/>
      <w:b/>
      <w:i w:val="false"/>
      <w:caps w:val="false"/>
      <w:smallCaps w:val="false"/>
      <w:strike w:val="false"/>
      <w:dstrike w:val="false"/>
      <w:vanish w:val="false"/>
      <w:color w:val="00000A"/>
      <w:spacing w:val="0"/>
      <w:position w:val="0"/>
      <w:sz w:val="24"/>
      <w:sz w:val="24"/>
      <w:u w:val="none"/>
      <w:vertAlign w:val="baseline"/>
      <w:em w:val="none"/>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Calibri" w:hAnsi="Calibri" w:cs="Courier New"/>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Calibri" w:hAnsi="Calibri" w:cs="Courier New"/>
      <w:sz w:val="22"/>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Calibri" w:hAnsi="Calibri"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Calibri" w:hAnsi="Calibri" w:cs="Symbol"/>
    </w:rPr>
  </w:style>
  <w:style w:type="character" w:styleId="ListLabel104">
    <w:name w:val="ListLabel 104"/>
    <w:qFormat/>
    <w:rPr>
      <w:rFonts w:cs="Symbol"/>
      <w:b/>
      <w:i w:val="false"/>
      <w:caps w:val="false"/>
      <w:smallCaps w:val="false"/>
      <w:strike w:val="false"/>
      <w:dstrike w:val="false"/>
      <w:vanish w:val="false"/>
      <w:color w:val="00000A"/>
      <w:spacing w:val="0"/>
      <w:position w:val="0"/>
      <w:sz w:val="24"/>
      <w:sz w:val="24"/>
      <w:u w:val="none"/>
      <w:vertAlign w:val="baseline"/>
      <w:em w:val="none"/>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ascii="Calibri" w:hAnsi="Calibri" w:cs="Courier New"/>
      <w:sz w:val="22"/>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ascii="Calibri" w:hAnsi="Calibri"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ascii="Calibri" w:hAnsi="Calibri" w:cs="Symbol"/>
    </w:rPr>
  </w:style>
  <w:style w:type="character" w:styleId="ListLabel151">
    <w:name w:val="ListLabel 151"/>
    <w:qFormat/>
    <w:rPr>
      <w:rFonts w:cs="Symbol"/>
      <w:b/>
      <w:i w:val="false"/>
      <w:caps w:val="false"/>
      <w:smallCaps w:val="false"/>
      <w:strike w:val="false"/>
      <w:dstrike w:val="false"/>
      <w:vanish w:val="false"/>
      <w:color w:val="00000A"/>
      <w:spacing w:val="0"/>
      <w:position w:val="0"/>
      <w:sz w:val="24"/>
      <w:sz w:val="24"/>
      <w:u w:val="none"/>
      <w:vertAlign w:val="baseline"/>
      <w:em w:val="none"/>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Calibri" w:hAnsi="Calibri" w:cs="Courier New"/>
      <w:sz w:val="22"/>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ascii="Calibri" w:hAnsi="Calibri"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ascii="Calibri" w:hAnsi="Calibri" w:cs="Symbol"/>
    </w:rPr>
  </w:style>
  <w:style w:type="character" w:styleId="Citation">
    <w:name w:val="Citation"/>
    <w:qFormat/>
    <w:rPr>
      <w:i/>
      <w:iCs/>
    </w:rPr>
  </w:style>
  <w:style w:type="character" w:styleId="ListLabel198">
    <w:name w:val="ListLabel 198"/>
    <w:qFormat/>
    <w:rPr>
      <w:rFonts w:cs="Symbol"/>
      <w:b/>
      <w:i w:val="false"/>
      <w:caps w:val="false"/>
      <w:smallCaps w:val="false"/>
      <w:strike w:val="false"/>
      <w:dstrike w:val="false"/>
      <w:vanish w:val="false"/>
      <w:color w:val="00000A"/>
      <w:spacing w:val="0"/>
      <w:position w:val="0"/>
      <w:sz w:val="24"/>
      <w:sz w:val="24"/>
      <w:u w:val="none"/>
      <w:vertAlign w:val="baseline"/>
      <w:em w:val="none"/>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Calibri" w:hAnsi="Calibri" w:cs="Courier New"/>
      <w:sz w:val="22"/>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Courier New"/>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Calibri" w:hAnsi="Calibri"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Calibri" w:hAnsi="Calibri" w:cs="Symbol"/>
    </w:rPr>
  </w:style>
  <w:style w:type="character" w:styleId="Puces">
    <w:name w:val="Puces"/>
    <w:qFormat/>
    <w:rPr>
      <w:rFonts w:ascii="OpenSymbol" w:hAnsi="OpenSymbol" w:eastAsia="OpenSymbol" w:cs="OpenSymbol"/>
    </w:rPr>
  </w:style>
  <w:style w:type="character" w:styleId="ListLabel245">
    <w:name w:val="ListLabel 245"/>
    <w:qFormat/>
    <w:rPr>
      <w:rFonts w:ascii="Times New Roman" w:hAnsi="Times New Roman" w:cs="Courier New"/>
      <w:sz w:val="24"/>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ascii="Times New Roman" w:hAnsi="Times New Roman" w:cs="Symbol"/>
      <w:sz w:val="24"/>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ascii="Times New Roman" w:hAnsi="Times New Roman" w:cs="Symbol"/>
      <w:sz w:val="24"/>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Wingdings"/>
    </w:rPr>
  </w:style>
  <w:style w:type="character" w:styleId="ListLabel274">
    <w:name w:val="ListLabel 274"/>
    <w:qFormat/>
    <w:rPr>
      <w:rFonts w:cs="Wingdings"/>
    </w:rPr>
  </w:style>
  <w:style w:type="character" w:styleId="ListLabel275">
    <w:name w:val="ListLabel 275"/>
    <w:qFormat/>
    <w:rPr>
      <w:rFonts w:cs="Wingdings"/>
    </w:rPr>
  </w:style>
  <w:style w:type="character" w:styleId="ListLabel276">
    <w:name w:val="ListLabel 276"/>
    <w:qFormat/>
    <w:rPr>
      <w:rFonts w:cs="Wingdings"/>
    </w:rPr>
  </w:style>
  <w:style w:type="character" w:styleId="ListLabel277">
    <w:name w:val="ListLabel 277"/>
    <w:qFormat/>
    <w:rPr>
      <w:rFonts w:cs="Wingdings"/>
    </w:rPr>
  </w:style>
  <w:style w:type="character" w:styleId="ListLabel278">
    <w:name w:val="ListLabel 278"/>
    <w:qFormat/>
    <w:rPr>
      <w:rFonts w:cs="Wingdings"/>
    </w:rPr>
  </w:style>
  <w:style w:type="character" w:styleId="ListLabel279">
    <w:name w:val="ListLabel 279"/>
    <w:qFormat/>
    <w:rPr>
      <w:rFonts w:cs="Wingdings"/>
    </w:rPr>
  </w:style>
  <w:style w:type="character" w:styleId="ListLabel280">
    <w:name w:val="ListLabel 280"/>
    <w:qFormat/>
    <w:rPr>
      <w:rFonts w:cs="Wingdings"/>
    </w:rPr>
  </w:style>
  <w:style w:type="character" w:styleId="ListLabel281">
    <w:name w:val="ListLabel 281"/>
    <w:qFormat/>
    <w:rPr>
      <w:rFonts w:cs="Wingdings"/>
    </w:rPr>
  </w:style>
  <w:style w:type="character" w:styleId="ListLabel282">
    <w:name w:val="ListLabel 282"/>
    <w:qFormat/>
    <w:rPr>
      <w:rFonts w:cs="Wingdings"/>
    </w:rPr>
  </w:style>
  <w:style w:type="character" w:styleId="ListLabel283">
    <w:name w:val="ListLabel 283"/>
    <w:qFormat/>
    <w:rPr>
      <w:rFonts w:cs="Wingdings"/>
    </w:rPr>
  </w:style>
  <w:style w:type="character" w:styleId="ListLabel284">
    <w:name w:val="ListLabel 284"/>
    <w:qFormat/>
    <w:rPr>
      <w:rFonts w:cs="Wingdings"/>
    </w:rPr>
  </w:style>
  <w:style w:type="character" w:styleId="ListLabel285">
    <w:name w:val="ListLabel 285"/>
    <w:qFormat/>
    <w:rPr>
      <w:rFonts w:cs="Wingdings"/>
    </w:rPr>
  </w:style>
  <w:style w:type="character" w:styleId="ListLabel286">
    <w:name w:val="ListLabel 286"/>
    <w:qFormat/>
    <w:rPr>
      <w:rFonts w:cs="Wingdings"/>
    </w:rPr>
  </w:style>
  <w:style w:type="character" w:styleId="ListLabel287">
    <w:name w:val="ListLabel 287"/>
    <w:qFormat/>
    <w:rPr>
      <w:rFonts w:cs="Wingdings"/>
    </w:rPr>
  </w:style>
  <w:style w:type="character" w:styleId="ListLabel288">
    <w:name w:val="ListLabel 288"/>
    <w:qFormat/>
    <w:rPr>
      <w:rFonts w:cs="Wingdings"/>
    </w:rPr>
  </w:style>
  <w:style w:type="character" w:styleId="ListLabel289">
    <w:name w:val="ListLabel 289"/>
    <w:qFormat/>
    <w:rPr>
      <w:rFonts w:cs="Wingdings"/>
    </w:rPr>
  </w:style>
  <w:style w:type="character" w:styleId="ListLabel290">
    <w:name w:val="ListLabel 290"/>
    <w:qFormat/>
    <w:rPr>
      <w:rFonts w:cs="Wingdings"/>
    </w:rPr>
  </w:style>
  <w:style w:type="character" w:styleId="ListLabel291">
    <w:name w:val="ListLabel 291"/>
    <w:qFormat/>
    <w:rPr>
      <w:rFonts w:ascii="Times New Roman" w:hAnsi="Times New Roman" w:cs="Courier New"/>
      <w:sz w:val="24"/>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ascii="Times New Roman" w:hAnsi="Times New Roman" w:cs="Symbol"/>
      <w:sz w:val="24"/>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ascii="Times New Roman" w:hAnsi="Times New Roman" w:cs="Symbol"/>
      <w:b w:val="false"/>
      <w:sz w:val="24"/>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Wingdings"/>
    </w:rPr>
  </w:style>
  <w:style w:type="character" w:styleId="ListLabel320">
    <w:name w:val="ListLabel 320"/>
    <w:qFormat/>
    <w:rPr>
      <w:rFonts w:cs="Wingdings"/>
    </w:rPr>
  </w:style>
  <w:style w:type="character" w:styleId="ListLabel321">
    <w:name w:val="ListLabel 321"/>
    <w:qFormat/>
    <w:rPr>
      <w:rFonts w:cs="Wingdings"/>
    </w:rPr>
  </w:style>
  <w:style w:type="character" w:styleId="ListLabel322">
    <w:name w:val="ListLabel 322"/>
    <w:qFormat/>
    <w:rPr>
      <w:rFonts w:cs="Wingdings"/>
    </w:rPr>
  </w:style>
  <w:style w:type="character" w:styleId="ListLabel323">
    <w:name w:val="ListLabel 323"/>
    <w:qFormat/>
    <w:rPr>
      <w:rFonts w:cs="Wingdings"/>
    </w:rPr>
  </w:style>
  <w:style w:type="character" w:styleId="ListLabel324">
    <w:name w:val="ListLabel 324"/>
    <w:qFormat/>
    <w:rPr>
      <w:rFonts w:cs="Wingdings"/>
    </w:rPr>
  </w:style>
  <w:style w:type="character" w:styleId="ListLabel325">
    <w:name w:val="ListLabel 325"/>
    <w:qFormat/>
    <w:rPr>
      <w:rFonts w:cs="Wingdings"/>
    </w:rPr>
  </w:style>
  <w:style w:type="character" w:styleId="ListLabel326">
    <w:name w:val="ListLabel 326"/>
    <w:qFormat/>
    <w:rPr>
      <w:rFonts w:cs="Wingdings"/>
    </w:rPr>
  </w:style>
  <w:style w:type="character" w:styleId="ListLabel327">
    <w:name w:val="ListLabel 327"/>
    <w:qFormat/>
    <w:rPr>
      <w:rFonts w:cs="Wingdings"/>
    </w:rPr>
  </w:style>
  <w:style w:type="character" w:styleId="ListLabel328">
    <w:name w:val="ListLabel 328"/>
    <w:qFormat/>
    <w:rPr>
      <w:rFonts w:cs="Wingdings"/>
    </w:rPr>
  </w:style>
  <w:style w:type="character" w:styleId="ListLabel329">
    <w:name w:val="ListLabel 329"/>
    <w:qFormat/>
    <w:rPr>
      <w:rFonts w:cs="Wingdings"/>
    </w:rPr>
  </w:style>
  <w:style w:type="character" w:styleId="ListLabel330">
    <w:name w:val="ListLabel 330"/>
    <w:qFormat/>
    <w:rPr>
      <w:rFonts w:cs="Wingdings"/>
    </w:rPr>
  </w:style>
  <w:style w:type="character" w:styleId="ListLabel331">
    <w:name w:val="ListLabel 331"/>
    <w:qFormat/>
    <w:rPr>
      <w:rFonts w:cs="Wingdings"/>
    </w:rPr>
  </w:style>
  <w:style w:type="character" w:styleId="ListLabel332">
    <w:name w:val="ListLabel 332"/>
    <w:qFormat/>
    <w:rPr>
      <w:rFonts w:cs="Wingdings"/>
    </w:rPr>
  </w:style>
  <w:style w:type="character" w:styleId="ListLabel333">
    <w:name w:val="ListLabel 333"/>
    <w:qFormat/>
    <w:rPr>
      <w:rFonts w:cs="Wingdings"/>
    </w:rPr>
  </w:style>
  <w:style w:type="character" w:styleId="ListLabel334">
    <w:name w:val="ListLabel 334"/>
    <w:qFormat/>
    <w:rPr>
      <w:rFonts w:cs="Wingdings"/>
    </w:rPr>
  </w:style>
  <w:style w:type="character" w:styleId="ListLabel335">
    <w:name w:val="ListLabel 335"/>
    <w:qFormat/>
    <w:rPr>
      <w:rFonts w:cs="Wingdings"/>
    </w:rPr>
  </w:style>
  <w:style w:type="character" w:styleId="ListLabel336">
    <w:name w:val="ListLabel 336"/>
    <w:qFormat/>
    <w:rPr>
      <w:rFonts w:cs="Wingdings"/>
    </w:rPr>
  </w:style>
  <w:style w:type="character" w:styleId="ListLabel337">
    <w:name w:val="ListLabel 337"/>
    <w:qFormat/>
    <w:rPr>
      <w:rFonts w:ascii="Times New Roman" w:hAnsi="Times New Roman" w:cs="Courier New"/>
      <w:sz w:val="24"/>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ascii="Times New Roman" w:hAnsi="Times New Roman" w:cs="Symbol"/>
      <w:sz w:val="24"/>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ascii="Times New Roman" w:hAnsi="Times New Roman" w:cs="Symbol"/>
      <w:b w:val="false"/>
      <w:sz w:val="24"/>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Wingdings"/>
    </w:rPr>
  </w:style>
  <w:style w:type="character" w:styleId="ListLabel366">
    <w:name w:val="ListLabel 366"/>
    <w:qFormat/>
    <w:rPr>
      <w:rFonts w:cs="Wingdings"/>
    </w:rPr>
  </w:style>
  <w:style w:type="character" w:styleId="ListLabel367">
    <w:name w:val="ListLabel 367"/>
    <w:qFormat/>
    <w:rPr>
      <w:rFonts w:cs="Wingdings"/>
    </w:rPr>
  </w:style>
  <w:style w:type="character" w:styleId="ListLabel368">
    <w:name w:val="ListLabel 368"/>
    <w:qFormat/>
    <w:rPr>
      <w:rFonts w:cs="Wingdings"/>
    </w:rPr>
  </w:style>
  <w:style w:type="character" w:styleId="ListLabel369">
    <w:name w:val="ListLabel 369"/>
    <w:qFormat/>
    <w:rPr>
      <w:rFonts w:cs="Wingdings"/>
    </w:rPr>
  </w:style>
  <w:style w:type="character" w:styleId="ListLabel370">
    <w:name w:val="ListLabel 370"/>
    <w:qFormat/>
    <w:rPr>
      <w:rFonts w:cs="Wingdings"/>
    </w:rPr>
  </w:style>
  <w:style w:type="character" w:styleId="ListLabel371">
    <w:name w:val="ListLabel 371"/>
    <w:qFormat/>
    <w:rPr>
      <w:rFonts w:cs="Wingdings"/>
    </w:rPr>
  </w:style>
  <w:style w:type="character" w:styleId="ListLabel372">
    <w:name w:val="ListLabel 372"/>
    <w:qFormat/>
    <w:rPr>
      <w:rFonts w:cs="Wingdings"/>
    </w:rPr>
  </w:style>
  <w:style w:type="character" w:styleId="ListLabel373">
    <w:name w:val="ListLabel 373"/>
    <w:qFormat/>
    <w:rPr>
      <w:rFonts w:cs="Wingdings"/>
    </w:rPr>
  </w:style>
  <w:style w:type="character" w:styleId="ListLabel374">
    <w:name w:val="ListLabel 374"/>
    <w:qFormat/>
    <w:rPr>
      <w:rFonts w:cs="Wingdings"/>
    </w:rPr>
  </w:style>
  <w:style w:type="character" w:styleId="ListLabel375">
    <w:name w:val="ListLabel 375"/>
    <w:qFormat/>
    <w:rPr>
      <w:rFonts w:cs="Wingdings"/>
    </w:rPr>
  </w:style>
  <w:style w:type="character" w:styleId="ListLabel376">
    <w:name w:val="ListLabel 376"/>
    <w:qFormat/>
    <w:rPr>
      <w:rFonts w:cs="Wingdings"/>
    </w:rPr>
  </w:style>
  <w:style w:type="character" w:styleId="ListLabel377">
    <w:name w:val="ListLabel 377"/>
    <w:qFormat/>
    <w:rPr>
      <w:rFonts w:cs="Wingdings"/>
    </w:rPr>
  </w:style>
  <w:style w:type="character" w:styleId="ListLabel378">
    <w:name w:val="ListLabel 378"/>
    <w:qFormat/>
    <w:rPr>
      <w:rFonts w:cs="Wingdings"/>
    </w:rPr>
  </w:style>
  <w:style w:type="character" w:styleId="ListLabel379">
    <w:name w:val="ListLabel 379"/>
    <w:qFormat/>
    <w:rPr>
      <w:rFonts w:cs="Wingdings"/>
    </w:rPr>
  </w:style>
  <w:style w:type="character" w:styleId="ListLabel380">
    <w:name w:val="ListLabel 380"/>
    <w:qFormat/>
    <w:rPr>
      <w:rFonts w:cs="Wingdings"/>
    </w:rPr>
  </w:style>
  <w:style w:type="character" w:styleId="ListLabel381">
    <w:name w:val="ListLabel 381"/>
    <w:qFormat/>
    <w:rPr>
      <w:rFonts w:cs="Wingdings"/>
    </w:rPr>
  </w:style>
  <w:style w:type="character" w:styleId="ListLabel382">
    <w:name w:val="ListLabel 382"/>
    <w:qFormat/>
    <w:rPr>
      <w:rFonts w:cs="Wingdings"/>
    </w:rPr>
  </w:style>
  <w:style w:type="character" w:styleId="Caractresdenumrotation">
    <w:name w:val="Caractères de numérotation"/>
    <w:qFormat/>
    <w:rPr/>
  </w:style>
  <w:style w:type="character" w:styleId="ListLabel383">
    <w:name w:val="ListLabel 383"/>
    <w:qFormat/>
    <w:rPr>
      <w:rFonts w:ascii="Times New Roman" w:hAnsi="Times New Roman" w:cs="OpenSymbol"/>
      <w:sz w:val="24"/>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ascii="Times New Roman" w:hAnsi="Times New Roman" w:cs="OpenSymbol"/>
      <w:b w:val="false"/>
      <w:sz w:val="24"/>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ascii="Times New Roman" w:hAnsi="Times New Roman" w:cs="OpenSymbol"/>
      <w:b w:val="false"/>
      <w:sz w:val="24"/>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ascii="Times New Roman" w:hAnsi="Times New Roman" w:cs="OpenSymbol"/>
      <w:sz w:val="24"/>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ascii="Times New Roman" w:hAnsi="Times New Roman" w:cs="OpenSymbol"/>
      <w:b w:val="false"/>
      <w:sz w:val="24"/>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ascii="Times New Roman" w:hAnsi="Times New Roman" w:cs="OpenSymbol"/>
      <w:sz w:val="24"/>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ascii="Times New Roman" w:hAnsi="Times New Roman" w:cs="OpenSymbol"/>
      <w:b w:val="false"/>
      <w:sz w:val="24"/>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ascii="Times New Roman" w:hAnsi="Times New Roman" w:cs="OpenSymbol"/>
      <w:sz w:val="24"/>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ascii="Times New Roman" w:hAnsi="Times New Roman" w:cs="OpenSymbol"/>
      <w:b w:val="false"/>
      <w:sz w:val="24"/>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ascii="Times New Roman" w:hAnsi="Times New Roman" w:cs="OpenSymbol"/>
      <w:sz w:val="24"/>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ascii="Times New Roman" w:hAnsi="Times New Roman" w:cs="OpenSymbol"/>
      <w:b w:val="false"/>
      <w:sz w:val="24"/>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ascii="Times New Roman" w:hAnsi="Times New Roman" w:cs="OpenSymbol"/>
      <w:sz w:val="24"/>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ascii="Times New Roman" w:hAnsi="Times New Roman" w:cs="OpenSymbol"/>
      <w:b w:val="false"/>
      <w:sz w:val="24"/>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ascii="Times New Roman" w:hAnsi="Times New Roman" w:cs="OpenSymbol"/>
      <w:sz w:val="24"/>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ascii="Times New Roman" w:hAnsi="Times New Roman" w:cs="OpenSymbol"/>
      <w:b w:val="false"/>
      <w:sz w:val="24"/>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ascii="Times New Roman" w:hAnsi="Times New Roman" w:cs="OpenSymbol"/>
      <w:sz w:val="24"/>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ascii="Times New Roman" w:hAnsi="Times New Roman" w:cs="OpenSymbol"/>
      <w:b w:val="false"/>
      <w:sz w:val="24"/>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ascii="Times New Roman" w:hAnsi="Times New Roman" w:cs="OpenSymbol"/>
      <w:sz w:val="24"/>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ascii="Times New Roman" w:hAnsi="Times New Roman" w:cs="OpenSymbol"/>
      <w:b w:val="false"/>
      <w:sz w:val="24"/>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ascii="Times New Roman" w:hAnsi="Times New Roman" w:cs="OpenSymbol"/>
      <w:sz w:val="24"/>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ascii="Times New Roman" w:hAnsi="Times New Roman" w:cs="OpenSymbol"/>
      <w:b w:val="false"/>
      <w:sz w:val="24"/>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44025e"/>
    <w:pPr>
      <w:spacing w:before="0" w:after="200"/>
      <w:ind w:left="720" w:hanging="0"/>
      <w:contextualSpacing/>
    </w:pPr>
    <w:rPr/>
  </w:style>
  <w:style w:type="paragraph" w:styleId="Annotationtext">
    <w:name w:val="annotation text"/>
    <w:basedOn w:val="Normal"/>
    <w:link w:val="CommentaireCar"/>
    <w:uiPriority w:val="99"/>
    <w:semiHidden/>
    <w:qFormat/>
    <w:rsid w:val="0044025e"/>
    <w:pPr>
      <w:spacing w:lineRule="auto" w:line="240"/>
    </w:pPr>
    <w:rPr>
      <w:sz w:val="20"/>
      <w:szCs w:val="20"/>
    </w:rPr>
  </w:style>
  <w:style w:type="paragraph" w:styleId="Annotationsubject">
    <w:name w:val="annotation subject"/>
    <w:basedOn w:val="Annotationtext"/>
    <w:link w:val="ObjetducommentaireCar"/>
    <w:uiPriority w:val="99"/>
    <w:semiHidden/>
    <w:qFormat/>
    <w:rsid w:val="0044025e"/>
    <w:pPr/>
    <w:rPr>
      <w:b/>
      <w:bCs/>
    </w:rPr>
  </w:style>
  <w:style w:type="paragraph" w:styleId="BalloonText">
    <w:name w:val="Balloon Text"/>
    <w:basedOn w:val="Normal"/>
    <w:link w:val="TextedebullesCar"/>
    <w:uiPriority w:val="99"/>
    <w:semiHidden/>
    <w:qFormat/>
    <w:rsid w:val="0044025e"/>
    <w:pPr>
      <w:spacing w:lineRule="auto" w:line="240" w:before="0" w:after="0"/>
    </w:pPr>
    <w:rPr>
      <w:rFonts w:ascii="Tahoma" w:hAnsi="Tahoma" w:cs="Tahoma"/>
      <w:sz w:val="16"/>
      <w:szCs w:val="16"/>
    </w:rPr>
  </w:style>
  <w:style w:type="paragraph" w:styleId="Revision">
    <w:name w:val="Revision"/>
    <w:uiPriority w:val="99"/>
    <w:semiHidden/>
    <w:qFormat/>
    <w:rsid w:val="0044025e"/>
    <w:pPr>
      <w:widowControl/>
      <w:bidi w:val="0"/>
      <w:jc w:val="left"/>
    </w:pPr>
    <w:rPr>
      <w:rFonts w:ascii="Calibri" w:hAnsi="Calibri" w:eastAsia="Calibri" w:cs="Times New Roman" w:asciiTheme="minorHAnsi" w:eastAsiaTheme="minorHAnsi" w:hAnsiTheme="minorHAnsi"/>
      <w:color w:val="00000A"/>
      <w:kern w:val="0"/>
      <w:sz w:val="22"/>
      <w:szCs w:val="22"/>
      <w:lang w:val="fr-FR" w:eastAsia="en-US" w:bidi="ar-SA"/>
    </w:rPr>
  </w:style>
  <w:style w:type="paragraph" w:styleId="Standard" w:customStyle="1">
    <w:name w:val="Standard"/>
    <w:uiPriority w:val="99"/>
    <w:qFormat/>
    <w:rsid w:val="0044025e"/>
    <w:pPr>
      <w:widowControl/>
      <w:suppressAutoHyphens w:val="true"/>
      <w:bidi w:val="0"/>
      <w:jc w:val="left"/>
      <w:textAlignment w:val="baseline"/>
    </w:pPr>
    <w:rPr>
      <w:rFonts w:ascii="Liberation Sans" w:hAnsi="Liberation Sans" w:eastAsia="Calibri" w:cs="Tahoma" w:eastAsiaTheme="minorHAnsi"/>
      <w:color w:val="00000A"/>
      <w:kern w:val="0"/>
      <w:sz w:val="24"/>
      <w:szCs w:val="24"/>
      <w:lang w:val="fr-FR" w:eastAsia="fr-FR" w:bidi="ar-SA"/>
    </w:rPr>
  </w:style>
  <w:style w:type="paragraph" w:styleId="Preformattedtext" w:customStyle="1">
    <w:name w:val="preformattedtext"/>
    <w:basedOn w:val="Normal"/>
    <w:uiPriority w:val="99"/>
    <w:qFormat/>
    <w:rsid w:val="0044025e"/>
    <w:pPr>
      <w:spacing w:lineRule="auto" w:line="240" w:beforeAutospacing="1" w:afterAutospacing="1"/>
    </w:pPr>
    <w:rPr>
      <w:rFonts w:ascii="Times New Roman" w:hAnsi="Times New Roman" w:eastAsia="Times New Roman"/>
      <w:sz w:val="24"/>
      <w:szCs w:val="24"/>
      <w:lang w:eastAsia="fr-FR"/>
    </w:rPr>
  </w:style>
  <w:style w:type="paragraph" w:styleId="Default" w:customStyle="1">
    <w:name w:val="Default"/>
    <w:uiPriority w:val="99"/>
    <w:qFormat/>
    <w:rsid w:val="0044025e"/>
    <w:pPr>
      <w:widowControl/>
      <w:bidi w:val="0"/>
      <w:jc w:val="left"/>
    </w:pPr>
    <w:rPr>
      <w:rFonts w:ascii="Calibri" w:hAnsi="Calibri" w:eastAsia="Calibri" w:cs="Calibri"/>
      <w:color w:val="000000"/>
      <w:kern w:val="0"/>
      <w:sz w:val="24"/>
      <w:szCs w:val="24"/>
      <w:lang w:val="fr-FR" w:eastAsia="en-US" w:bidi="ar-SA"/>
    </w:rPr>
  </w:style>
  <w:style w:type="paragraph" w:styleId="WWStandard" w:customStyle="1">
    <w:name w:val="WW-Standard"/>
    <w:uiPriority w:val="99"/>
    <w:qFormat/>
    <w:rsid w:val="0044025e"/>
    <w:pPr>
      <w:widowControl/>
      <w:suppressAutoHyphens w:val="true"/>
      <w:bidi w:val="0"/>
      <w:jc w:val="left"/>
      <w:textAlignment w:val="baseline"/>
    </w:pPr>
    <w:rPr>
      <w:rFonts w:ascii="Liberation Sans" w:hAnsi="Liberation Sans" w:eastAsia="Calibri" w:cs="Liberation Sans" w:eastAsiaTheme="minorHAnsi"/>
      <w:color w:val="00000A"/>
      <w:kern w:val="0"/>
      <w:sz w:val="24"/>
      <w:szCs w:val="24"/>
      <w:lang w:val="fr-FR" w:eastAsia="ar-SA" w:bidi="ar-SA"/>
    </w:rPr>
  </w:style>
  <w:style w:type="paragraph" w:styleId="WWStandard1" w:customStyle="1">
    <w:name w:val="WW-Standard1"/>
    <w:uiPriority w:val="99"/>
    <w:qFormat/>
    <w:rsid w:val="0044025e"/>
    <w:pPr>
      <w:widowControl/>
      <w:suppressAutoHyphens w:val="true"/>
      <w:bidi w:val="0"/>
      <w:jc w:val="both"/>
      <w:textAlignment w:val="baseline"/>
    </w:pPr>
    <w:rPr>
      <w:rFonts w:ascii="Arial" w:hAnsi="Arial" w:eastAsia="Times New Roman" w:cs="Liberation Sans"/>
      <w:color w:val="00000A"/>
      <w:kern w:val="0"/>
      <w:sz w:val="22"/>
      <w:szCs w:val="24"/>
      <w:lang w:val="fr-FR" w:eastAsia="ar-SA" w:bidi="ar-SA"/>
    </w:rPr>
  </w:style>
  <w:style w:type="paragraph" w:styleId="Footnote" w:customStyle="1">
    <w:name w:val="Footnote"/>
    <w:basedOn w:val="WWStandard1"/>
    <w:uiPriority w:val="99"/>
    <w:qFormat/>
    <w:rsid w:val="0044025e"/>
    <w:pPr>
      <w:widowControl w:val="false"/>
      <w:ind w:left="283" w:hanging="283"/>
    </w:pPr>
    <w:rPr>
      <w:sz w:val="20"/>
      <w:szCs w:val="20"/>
    </w:rPr>
  </w:style>
  <w:style w:type="paragraph" w:styleId="SNNature" w:customStyle="1">
    <w:name w:val="SNNature"/>
    <w:basedOn w:val="Standard"/>
    <w:next w:val="Normal"/>
    <w:uiPriority w:val="99"/>
    <w:qFormat/>
    <w:rsid w:val="0044025e"/>
    <w:pPr>
      <w:widowControl w:val="false"/>
      <w:suppressLineNumbers/>
      <w:spacing w:before="720" w:after="120"/>
      <w:jc w:val="center"/>
    </w:pPr>
    <w:rPr>
      <w:rFonts w:cs="Liberation Sans"/>
      <w:b/>
      <w:bCs/>
      <w:lang w:eastAsia="ar-SA"/>
    </w:rPr>
  </w:style>
  <w:style w:type="paragraph" w:styleId="Textbody" w:customStyle="1">
    <w:name w:val="Text body"/>
    <w:basedOn w:val="WWStandard"/>
    <w:uiPriority w:val="99"/>
    <w:qFormat/>
    <w:rsid w:val="0044025e"/>
    <w:pPr>
      <w:spacing w:before="0" w:after="120"/>
    </w:pPr>
    <w:rPr/>
  </w:style>
  <w:style w:type="paragraph" w:styleId="SNREPUBLIQUE" w:customStyle="1">
    <w:name w:val="SNREPUBLIQUE"/>
    <w:basedOn w:val="Standard"/>
    <w:uiPriority w:val="99"/>
    <w:qFormat/>
    <w:rsid w:val="0044025e"/>
    <w:pPr>
      <w:jc w:val="center"/>
    </w:pPr>
    <w:rPr>
      <w:rFonts w:cs="Liberation Sans"/>
      <w:b/>
      <w:bCs/>
      <w:szCs w:val="20"/>
      <w:lang w:eastAsia="ar-SA"/>
    </w:rPr>
  </w:style>
  <w:style w:type="paragraph" w:styleId="SNSignatureGauche" w:customStyle="1">
    <w:name w:val="SNSignature Gauche"/>
    <w:basedOn w:val="Standard"/>
    <w:uiPriority w:val="99"/>
    <w:qFormat/>
    <w:rsid w:val="0044025e"/>
    <w:pPr>
      <w:ind w:firstLine="720"/>
    </w:pPr>
    <w:rPr>
      <w:rFonts w:cs="Liberation Sans"/>
      <w:lang w:eastAsia="ar-SA"/>
    </w:rPr>
  </w:style>
  <w:style w:type="paragraph" w:styleId="SNAutorit" w:customStyle="1">
    <w:name w:val="SNAutorité"/>
    <w:basedOn w:val="Standard"/>
    <w:uiPriority w:val="99"/>
    <w:qFormat/>
    <w:rsid w:val="0044025e"/>
    <w:pPr>
      <w:spacing w:before="720" w:after="240"/>
      <w:ind w:firstLine="720"/>
    </w:pPr>
    <w:rPr>
      <w:rFonts w:cs="Liberation Sans"/>
      <w:b/>
      <w:lang w:eastAsia="ar-SA"/>
    </w:rPr>
  </w:style>
  <w:style w:type="paragraph" w:styleId="SNVisa" w:customStyle="1">
    <w:name w:val="SNVisa"/>
    <w:basedOn w:val="Standard"/>
    <w:uiPriority w:val="99"/>
    <w:qFormat/>
    <w:rsid w:val="0044025e"/>
    <w:pPr>
      <w:spacing w:before="120" w:after="120"/>
      <w:ind w:firstLine="720"/>
    </w:pPr>
    <w:rPr>
      <w:rFonts w:cs="Liberation Sans"/>
      <w:lang w:eastAsia="ar-SA"/>
    </w:rPr>
  </w:style>
  <w:style w:type="paragraph" w:styleId="SNActe" w:customStyle="1">
    <w:name w:val="SNActe"/>
    <w:basedOn w:val="Standard"/>
    <w:uiPriority w:val="99"/>
    <w:qFormat/>
    <w:rsid w:val="0044025e"/>
    <w:pPr>
      <w:spacing w:before="480" w:after="360"/>
      <w:jc w:val="center"/>
    </w:pPr>
    <w:rPr>
      <w:rFonts w:cs="Liberation Sans"/>
      <w:b/>
      <w:lang w:eastAsia="ar-SA"/>
    </w:rPr>
  </w:style>
  <w:style w:type="paragraph" w:styleId="SNArticle" w:customStyle="1">
    <w:name w:val="SNArticle"/>
    <w:basedOn w:val="Standard"/>
    <w:uiPriority w:val="99"/>
    <w:qFormat/>
    <w:rsid w:val="0044025e"/>
    <w:pPr>
      <w:spacing w:before="240" w:after="240"/>
      <w:jc w:val="center"/>
    </w:pPr>
    <w:rPr>
      <w:rFonts w:cs="Liberation Sans"/>
      <w:b/>
      <w:lang w:eastAsia="ar-SA"/>
    </w:rPr>
  </w:style>
  <w:style w:type="paragraph" w:styleId="NormalWeb">
    <w:name w:val="Normal (Web)"/>
    <w:basedOn w:val="WWStandard"/>
    <w:uiPriority w:val="99"/>
    <w:qFormat/>
    <w:rsid w:val="0044025e"/>
    <w:pPr>
      <w:spacing w:before="100" w:after="119"/>
    </w:pPr>
    <w:rPr>
      <w:rFonts w:ascii="Arial Unicode MS" w:hAnsi="Arial Unicode MS" w:eastAsia="Arial Unicode MS" w:cs="Arial Unicode MS"/>
    </w:rPr>
  </w:style>
  <w:style w:type="paragraph" w:styleId="SNtitre" w:customStyle="1">
    <w:name w:val="SNtitre"/>
    <w:basedOn w:val="Standard"/>
    <w:uiPriority w:val="99"/>
    <w:qFormat/>
    <w:rsid w:val="0044025e"/>
    <w:pPr>
      <w:widowControl w:val="false"/>
      <w:suppressLineNumbers/>
      <w:spacing w:before="0" w:after="360"/>
      <w:jc w:val="center"/>
    </w:pPr>
    <w:rPr>
      <w:rFonts w:cs="Liberation Sans"/>
      <w:b/>
      <w:lang w:eastAsia="ar-SA"/>
    </w:rPr>
  </w:style>
  <w:style w:type="paragraph" w:styleId="SNNORCentr" w:customStyle="1">
    <w:name w:val="SNNOR+Centré"/>
    <w:uiPriority w:val="99"/>
    <w:qFormat/>
    <w:rsid w:val="0044025e"/>
    <w:pPr>
      <w:widowControl/>
      <w:suppressAutoHyphens w:val="true"/>
      <w:bidi w:val="0"/>
      <w:jc w:val="center"/>
      <w:textAlignment w:val="baseline"/>
    </w:pPr>
    <w:rPr>
      <w:rFonts w:ascii="Times New Roman" w:hAnsi="Times New Roman" w:eastAsia="Calibri" w:cs="Times New Roman" w:eastAsiaTheme="minorHAnsi"/>
      <w:bCs/>
      <w:color w:val="00000A"/>
      <w:kern w:val="0"/>
      <w:sz w:val="24"/>
      <w:szCs w:val="20"/>
      <w:lang w:val="fr-FR" w:eastAsia="fr-FR" w:bidi="ar-SA"/>
    </w:rPr>
  </w:style>
  <w:style w:type="paragraph" w:styleId="Entte">
    <w:name w:val="Header"/>
    <w:basedOn w:val="Normal"/>
    <w:link w:val="En-tteCar"/>
    <w:uiPriority w:val="99"/>
    <w:rsid w:val="0044025e"/>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rsid w:val="0044025e"/>
    <w:pPr>
      <w:tabs>
        <w:tab w:val="clear" w:pos="708"/>
        <w:tab w:val="center" w:pos="4536" w:leader="none"/>
        <w:tab w:val="right" w:pos="9072" w:leader="none"/>
      </w:tabs>
      <w:spacing w:lineRule="auto" w:line="240" w:before="0" w:after="0"/>
    </w:pPr>
    <w:rPr/>
  </w:style>
  <w:style w:type="paragraph" w:styleId="CM1" w:customStyle="1">
    <w:name w:val="CM1"/>
    <w:basedOn w:val="Default"/>
    <w:next w:val="Default"/>
    <w:uiPriority w:val="99"/>
    <w:qFormat/>
    <w:rsid w:val="0044025e"/>
    <w:pPr/>
    <w:rPr>
      <w:rFonts w:ascii="EUAlbertina" w:hAnsi="EUAlbertina" w:cs="Times New Roman"/>
      <w:color w:val="00000A"/>
    </w:rPr>
  </w:style>
  <w:style w:type="paragraph" w:styleId="CM3" w:customStyle="1">
    <w:name w:val="CM3"/>
    <w:basedOn w:val="Default"/>
    <w:next w:val="Default"/>
    <w:uiPriority w:val="99"/>
    <w:qFormat/>
    <w:rsid w:val="0044025e"/>
    <w:pPr/>
    <w:rPr>
      <w:rFonts w:ascii="EUAlbertina" w:hAnsi="EUAlbertina" w:cs="Times New Roman"/>
      <w:color w:val="00000A"/>
    </w:rPr>
  </w:style>
  <w:style w:type="paragraph" w:styleId="Notedefin">
    <w:name w:val="Endnote Text"/>
    <w:basedOn w:val="Normal"/>
    <w:link w:val="NotedefinCar"/>
    <w:uiPriority w:val="99"/>
    <w:semiHidden/>
    <w:qFormat/>
    <w:rsid w:val="0044025e"/>
    <w:pPr>
      <w:spacing w:lineRule="auto" w:line="240" w:before="0" w:after="0"/>
    </w:pPr>
    <w:rPr>
      <w:sz w:val="20"/>
      <w:szCs w:val="20"/>
    </w:rPr>
  </w:style>
  <w:style w:type="paragraph" w:styleId="Notedebasdepage">
    <w:name w:val="Footnote Text"/>
    <w:basedOn w:val="Normal"/>
    <w:link w:val="NotedebasdepageCar"/>
    <w:uiPriority w:val="99"/>
    <w:semiHidden/>
    <w:qFormat/>
    <w:rsid w:val="0044025e"/>
    <w:pPr>
      <w:spacing w:lineRule="auto" w:line="240" w:before="0" w:after="0"/>
    </w:pPr>
    <w:rPr>
      <w:sz w:val="20"/>
      <w:szCs w:val="20"/>
    </w:rPr>
  </w:style>
  <w:style w:type="paragraph" w:styleId="Titreannexe" w:customStyle="1">
    <w:name w:val="titre annexe"/>
    <w:basedOn w:val="Titre3"/>
    <w:qFormat/>
    <w:rsid w:val="00a47a5a"/>
    <w:pPr>
      <w:spacing w:lineRule="auto" w:line="264" w:before="0" w:after="240"/>
      <w:jc w:val="both"/>
    </w:pPr>
    <w:rPr>
      <w:rFonts w:ascii="Calibri" w:hAnsi="Calibri" w:eastAsia="Calibri" w:cs="Arial"/>
      <w:color w:val="E80616"/>
      <w:sz w:val="24"/>
      <w:szCs w:val="28"/>
      <w:lang w:eastAsia="fr-FR"/>
    </w:rPr>
  </w:style>
  <w:style w:type="paragraph" w:styleId="Contenudetableau">
    <w:name w:val="Contenu de tableau"/>
    <w:basedOn w:val="Normal"/>
    <w:qFormat/>
    <w:pPr>
      <w:suppressLineNumbers/>
    </w:pPr>
    <w:rPr/>
  </w:style>
  <w:style w:type="numbering" w:styleId="NoList" w:default="1">
    <w:name w:val="No List"/>
    <w:uiPriority w:val="99"/>
    <w:semiHidden/>
    <w:unhideWhenUsed/>
    <w:qFormat/>
  </w:style>
  <w:style w:type="numbering" w:styleId="WW8Num3" w:customStyle="1">
    <w:name w:val="WW8Num3"/>
    <w:qFormat/>
    <w:rsid w:val="0044025e"/>
  </w:style>
  <w:style w:type="numbering" w:styleId="WW8Num11" w:customStyle="1">
    <w:name w:val="WW8Num11"/>
    <w:qFormat/>
    <w:rsid w:val="0044025e"/>
  </w:style>
  <w:style w:type="numbering" w:styleId="WW8Num4" w:customStyle="1">
    <w:name w:val="WW8Num4"/>
    <w:qFormat/>
    <w:rsid w:val="0044025e"/>
  </w:style>
  <w:style w:type="numbering" w:styleId="WW8Num1" w:customStyle="1">
    <w:name w:val="WW8Num1"/>
    <w:qFormat/>
    <w:rsid w:val="0044025e"/>
  </w:style>
  <w:style w:type="numbering" w:styleId="WW8Num9" w:customStyle="1">
    <w:name w:val="WW8Num9"/>
    <w:qFormat/>
    <w:rsid w:val="0044025e"/>
  </w:style>
  <w:style w:type="numbering" w:styleId="WW8Num7" w:customStyle="1">
    <w:name w:val="WW8Num7"/>
    <w:qFormat/>
    <w:rsid w:val="0044025e"/>
  </w:style>
  <w:style w:type="numbering" w:styleId="WW8Num6" w:customStyle="1">
    <w:name w:val="WW8Num6"/>
    <w:qFormat/>
    <w:rsid w:val="0044025e"/>
  </w:style>
  <w:style w:type="numbering" w:styleId="WW8Num8" w:customStyle="1">
    <w:name w:val="WW8Num8"/>
    <w:qFormat/>
    <w:rsid w:val="0044025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99"/>
    <w:rsid w:val="0044025e"/>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Relationship Id="rId11" Type="http://schemas.openxmlformats.org/officeDocument/2006/relationships/customXml" Target="../customXml/item5.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31A8183325C4FAF45D9111EB882EE" ma:contentTypeVersion="0" ma:contentTypeDescription="Crée un document." ma:contentTypeScope="" ma:versionID="3cf1323c394b446ec8877122ef07ab5d">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74F84-720F-4D03-9402-121AE8D33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8654BE3-AA80-4CF1-9696-DFD0EFDF1B97}">
  <ds:schemaRefs>
    <ds:schemaRef ds:uri="http://schemas.microsoft.com/sharepoint/v3/contenttype/forms"/>
  </ds:schemaRefs>
</ds:datastoreItem>
</file>

<file path=customXml/itemProps3.xml><?xml version="1.0" encoding="utf-8"?>
<ds:datastoreItem xmlns:ds="http://schemas.openxmlformats.org/officeDocument/2006/customXml" ds:itemID="{56A08DD3-F692-488A-B708-F1558F190D72}">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35E77A7-B1E9-44CE-A1A5-985A9287840A}">
  <ds:schemaRefs>
    <ds:schemaRef ds:uri="http://schemas.openxmlformats.org/officeDocument/2006/bibliography"/>
  </ds:schemaRefs>
</ds:datastoreItem>
</file>

<file path=customXml/itemProps5.xml><?xml version="1.0" encoding="utf-8"?>
<ds:datastoreItem xmlns:ds="http://schemas.openxmlformats.org/officeDocument/2006/customXml" ds:itemID="{BE322A13-0F19-4BFC-8767-6A6F7700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4</Pages>
  <Words>1339</Words>
  <Characters>7540</Characters>
  <CharactersWithSpaces>8820</CharactersWithSpaces>
  <Paragraphs>52</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2021-10-11T10:58:18Z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MSS</vt:lpwstr>
  </property>
  <property fmtid="{D5CDD505-2E9C-101B-9397-08002B2CF9AE}" pid="4" name="ContentTypeId">
    <vt:lpwstr>0x010100DE831A8183325C4FAF45D9111EB882EE</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PACo_NiveauDeConfidentialite">
    <vt:lpwstr>1;#Public|43a73bf0-6fa9-439e-9f01-0c858cc75030</vt:lpwstr>
  </property>
  <property fmtid="{D5CDD505-2E9C-101B-9397-08002B2CF9AE}" pid="9" name="PACo_NiveauDeConfidentialiteTaxHTField0">
    <vt:lpwstr>Public43a73bf0-6fa9-439e-9f01-0c858cc75030</vt:lpwstr>
  </property>
  <property fmtid="{D5CDD505-2E9C-101B-9397-08002B2CF9AE}" pid="10" name="ScaleCrop">
    <vt:bool>0</vt:bool>
  </property>
  <property fmtid="{D5CDD505-2E9C-101B-9397-08002B2CF9AE}" pid="11" name="ShareDoc">
    <vt:bool>0</vt:bool>
  </property>
  <property fmtid="{D5CDD505-2E9C-101B-9397-08002B2CF9AE}" pid="12" name="TaxCatchAll">
    <vt:lpwstr>1</vt:lpwstr>
  </property>
  <property fmtid="{D5CDD505-2E9C-101B-9397-08002B2CF9AE}" pid="13" name="_dlc_DocId">
    <vt:lpwstr>CXYRD2YVEM74-3667-14</vt:lpwstr>
  </property>
  <property fmtid="{D5CDD505-2E9C-101B-9397-08002B2CF9AE}" pid="14" name="_dlc_DocIdItemGuid">
    <vt:lpwstr>1f3ba786-c441-4ffe-9322-3215b5078404</vt:lpwstr>
  </property>
  <property fmtid="{D5CDD505-2E9C-101B-9397-08002B2CF9AE}" pid="15" name="_dlc_DocIdUrl">
    <vt:lpwstr>https://paco.intranet.social.gouv.fr/sante/dgcs/08/_layouts/15/DocIdRedir.aspx?ID=CXYRD2YVEM74-3667-14CXYRD2YVEM74-3667-14</vt:lpwstr>
  </property>
</Properties>
</file>